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83CA4" w14:textId="43915959" w:rsidR="001468A2" w:rsidRPr="00D51C07" w:rsidRDefault="00B561E2" w:rsidP="001468A2">
      <w:pPr>
        <w:jc w:val="center"/>
        <w:rPr>
          <w:b/>
          <w:sz w:val="40"/>
          <w:szCs w:val="40"/>
        </w:rPr>
      </w:pPr>
      <w:r>
        <w:rPr>
          <w:b/>
          <w:sz w:val="40"/>
          <w:szCs w:val="40"/>
        </w:rPr>
        <w:t>202</w:t>
      </w:r>
      <w:r w:rsidR="00FC6F1E">
        <w:rPr>
          <w:b/>
          <w:sz w:val="40"/>
          <w:szCs w:val="40"/>
        </w:rPr>
        <w:t>5-2026</w:t>
      </w:r>
      <w:r w:rsidR="005519BA">
        <w:rPr>
          <w:b/>
          <w:sz w:val="40"/>
          <w:szCs w:val="40"/>
        </w:rPr>
        <w:t xml:space="preserve"> </w:t>
      </w:r>
      <w:r w:rsidR="00711180">
        <w:rPr>
          <w:b/>
          <w:sz w:val="40"/>
          <w:szCs w:val="40"/>
        </w:rPr>
        <w:t xml:space="preserve">School </w:t>
      </w:r>
      <w:r w:rsidR="00B00CA3">
        <w:rPr>
          <w:b/>
          <w:sz w:val="40"/>
          <w:szCs w:val="40"/>
        </w:rPr>
        <w:t xml:space="preserve">Growth </w:t>
      </w:r>
      <w:r w:rsidR="00711180">
        <w:rPr>
          <w:b/>
          <w:sz w:val="40"/>
          <w:szCs w:val="40"/>
        </w:rPr>
        <w:t>Plan</w:t>
      </w:r>
    </w:p>
    <w:tbl>
      <w:tblPr>
        <w:tblStyle w:val="TableGrid"/>
        <w:tblW w:w="10924" w:type="dxa"/>
        <w:tblLook w:val="04A0" w:firstRow="1" w:lastRow="0" w:firstColumn="1" w:lastColumn="0" w:noHBand="0" w:noVBand="1"/>
      </w:tblPr>
      <w:tblGrid>
        <w:gridCol w:w="1401"/>
        <w:gridCol w:w="857"/>
        <w:gridCol w:w="1182"/>
        <w:gridCol w:w="1846"/>
        <w:gridCol w:w="1846"/>
        <w:gridCol w:w="1180"/>
        <w:gridCol w:w="2612"/>
      </w:tblGrid>
      <w:tr w:rsidR="00BA0606" w14:paraId="324A18C7" w14:textId="77777777" w:rsidTr="1C891BF6">
        <w:trPr>
          <w:trHeight w:val="853"/>
        </w:trPr>
        <w:tc>
          <w:tcPr>
            <w:tcW w:w="10924" w:type="dxa"/>
            <w:gridSpan w:val="7"/>
          </w:tcPr>
          <w:p w14:paraId="4EC9E459" w14:textId="4AC93EE4" w:rsidR="00BA0606" w:rsidRPr="00944963" w:rsidRDefault="00BA0606" w:rsidP="00A03D18">
            <w:pPr>
              <w:pStyle w:val="Title"/>
              <w:jc w:val="center"/>
            </w:pPr>
            <w:r>
              <w:t>Kyuquot Elementary Secondary School</w:t>
            </w:r>
          </w:p>
        </w:tc>
      </w:tr>
      <w:tr w:rsidR="00BA0606" w14:paraId="50B6C518" w14:textId="77777777" w:rsidTr="1C891BF6">
        <w:trPr>
          <w:trHeight w:val="142"/>
        </w:trPr>
        <w:tc>
          <w:tcPr>
            <w:tcW w:w="1892" w:type="dxa"/>
            <w:gridSpan w:val="2"/>
            <w:shd w:val="clear" w:color="auto" w:fill="D9E2F3" w:themeFill="accent5" w:themeFillTint="33"/>
          </w:tcPr>
          <w:p w14:paraId="5FA55A17" w14:textId="77777777" w:rsidR="00BA0606" w:rsidRPr="00D51C07" w:rsidRDefault="00BA0606" w:rsidP="00912C28">
            <w:pPr>
              <w:rPr>
                <w:b/>
                <w:sz w:val="40"/>
                <w:szCs w:val="40"/>
              </w:rPr>
            </w:pPr>
            <w:r w:rsidRPr="00D51C07">
              <w:rPr>
                <w:b/>
                <w:sz w:val="40"/>
                <w:szCs w:val="40"/>
              </w:rPr>
              <w:t>School Context</w:t>
            </w:r>
          </w:p>
          <w:p w14:paraId="657E0F5A" w14:textId="4AEB7D8F" w:rsidR="00BA0606" w:rsidRPr="00842F49" w:rsidRDefault="00BA0606" w:rsidP="00711180">
            <w:pPr>
              <w:rPr>
                <w:sz w:val="16"/>
                <w:szCs w:val="16"/>
              </w:rPr>
            </w:pPr>
          </w:p>
        </w:tc>
        <w:tc>
          <w:tcPr>
            <w:tcW w:w="9032" w:type="dxa"/>
            <w:gridSpan w:val="5"/>
            <w:shd w:val="clear" w:color="auto" w:fill="E2EFD9" w:themeFill="accent6" w:themeFillTint="33"/>
          </w:tcPr>
          <w:p w14:paraId="0E18D4BC" w14:textId="77777777" w:rsidR="00FC6F1E" w:rsidRDefault="00B868DF" w:rsidP="00B868DF">
            <w:pPr>
              <w:pStyle w:val="p1"/>
            </w:pPr>
            <w:r>
              <w:t>Kyuquot Elementary Secondary School is situated on the ancestral lands of the Ka:’</w:t>
            </w:r>
            <w:proofErr w:type="spellStart"/>
            <w:r>
              <w:t>yu</w:t>
            </w:r>
            <w:proofErr w:type="spellEnd"/>
            <w:r>
              <w:t>:’</w:t>
            </w:r>
            <w:proofErr w:type="spellStart"/>
            <w:r>
              <w:t>k’t’h</w:t>
            </w:r>
            <w:proofErr w:type="spellEnd"/>
            <w:r>
              <w:t>’/</w:t>
            </w:r>
            <w:proofErr w:type="gramStart"/>
            <w:r>
              <w:t>Che:k’tles</w:t>
            </w:r>
            <w:proofErr w:type="gramEnd"/>
            <w:r>
              <w:t>7et’h’ First Nations. As a small, community-rooted Grade 1–12 school</w:t>
            </w:r>
            <w:r w:rsidR="00FC6F1E">
              <w:t xml:space="preserve">, we </w:t>
            </w:r>
            <w:r>
              <w:t xml:space="preserve">benefit from a close-knit setting that fosters meaningful relationships, personalized learning, and cultural grounding. In partnership with local rightsholders and through the Learning Enhancement Agreement (LEA), our work is guided by commitments to cultural pride, equitable learning outcomes, student wellness, and academic success. Our school embraces Nuu-chah-nulth ways of knowing, trauma-informed practices, and high expectations for all learners. </w:t>
            </w:r>
          </w:p>
          <w:p w14:paraId="1651CF50" w14:textId="77777777" w:rsidR="00FC6F1E" w:rsidRDefault="00B868DF" w:rsidP="00515CB0">
            <w:pPr>
              <w:pStyle w:val="p1"/>
              <w:spacing w:before="0" w:beforeAutospacing="0" w:after="0" w:afterAutospacing="0"/>
            </w:pPr>
            <w:r>
              <w:t xml:space="preserve">This year’s growth plan builds upon the commitments made in our </w:t>
            </w:r>
            <w:r>
              <w:rPr>
                <w:rStyle w:val="s1"/>
                <w:rFonts w:eastAsiaTheme="minorEastAsia"/>
                <w:b/>
                <w:bCs/>
              </w:rPr>
              <w:t>2024–2025 plan</w:t>
            </w:r>
            <w:r>
              <w:t xml:space="preserve"> while reflecting updated data from students, staff, and caregivers, as well as emerging priorities from our </w:t>
            </w:r>
            <w:r w:rsidRPr="00B868DF">
              <w:rPr>
                <w:b/>
                <w:bCs/>
              </w:rPr>
              <w:t>District Strategic Planning</w:t>
            </w:r>
            <w:r>
              <w:t xml:space="preserve"> and our ongoing </w:t>
            </w:r>
            <w:r>
              <w:rPr>
                <w:rStyle w:val="s1"/>
                <w:rFonts w:eastAsiaTheme="minorEastAsia"/>
                <w:b/>
                <w:bCs/>
              </w:rPr>
              <w:t>Learning Enhancement Agreement</w:t>
            </w:r>
            <w:r>
              <w:t xml:space="preserve"> with KCFN. It is grounded in reflection, guided by the voices of our learners, and driven by the goal of ensuring all students feel safe, connected, challenged, and proud of who they are.</w:t>
            </w:r>
          </w:p>
          <w:p w14:paraId="301FD839" w14:textId="30D3EB5F" w:rsidR="00B3221A" w:rsidRPr="00B868DF" w:rsidRDefault="00B3221A" w:rsidP="00B868DF">
            <w:pPr>
              <w:pStyle w:val="p1"/>
            </w:pPr>
          </w:p>
        </w:tc>
      </w:tr>
      <w:tr w:rsidR="00BA0606" w14:paraId="2AF5A8B5" w14:textId="77777777" w:rsidTr="1C891BF6">
        <w:trPr>
          <w:trHeight w:val="142"/>
        </w:trPr>
        <w:tc>
          <w:tcPr>
            <w:tcW w:w="1892" w:type="dxa"/>
            <w:gridSpan w:val="2"/>
            <w:shd w:val="clear" w:color="auto" w:fill="D9E2F3" w:themeFill="accent5" w:themeFillTint="33"/>
          </w:tcPr>
          <w:p w14:paraId="0EB40103" w14:textId="77777777" w:rsidR="00BA0606" w:rsidRPr="00D51C07" w:rsidRDefault="00BA0606" w:rsidP="00912C28">
            <w:pPr>
              <w:rPr>
                <w:b/>
                <w:sz w:val="40"/>
                <w:szCs w:val="40"/>
              </w:rPr>
            </w:pPr>
            <w:r w:rsidRPr="00D51C07">
              <w:rPr>
                <w:b/>
                <w:sz w:val="40"/>
                <w:szCs w:val="40"/>
              </w:rPr>
              <w:t xml:space="preserve">Scanning </w:t>
            </w:r>
          </w:p>
          <w:p w14:paraId="2A979B05" w14:textId="77777777" w:rsidR="00BA0606" w:rsidRPr="00D51C07" w:rsidRDefault="00BA0606" w:rsidP="00912C28">
            <w:pPr>
              <w:rPr>
                <w:b/>
                <w:sz w:val="28"/>
                <w:szCs w:val="28"/>
              </w:rPr>
            </w:pPr>
            <w:r w:rsidRPr="00D51C07">
              <w:rPr>
                <w:b/>
                <w:sz w:val="28"/>
                <w:szCs w:val="28"/>
              </w:rPr>
              <w:t>“What’s going on for our learners?”</w:t>
            </w:r>
          </w:p>
          <w:p w14:paraId="75335E7F" w14:textId="573EE13E" w:rsidR="00BA0606" w:rsidRPr="00842F49" w:rsidRDefault="00BA0606" w:rsidP="1C891BF6">
            <w:pPr>
              <w:rPr>
                <w:sz w:val="16"/>
                <w:szCs w:val="16"/>
              </w:rPr>
            </w:pPr>
          </w:p>
          <w:p w14:paraId="4EBD24E6" w14:textId="77777777" w:rsidR="00BA0606" w:rsidRPr="00842F49" w:rsidRDefault="00BA0606" w:rsidP="00912C28">
            <w:pPr>
              <w:rPr>
                <w:i/>
                <w:sz w:val="16"/>
                <w:szCs w:val="16"/>
              </w:rPr>
            </w:pPr>
          </w:p>
          <w:p w14:paraId="493D61A6" w14:textId="7EA7836E" w:rsidR="00BA0606" w:rsidRPr="00842F49" w:rsidRDefault="00BA0606" w:rsidP="00912C28">
            <w:pPr>
              <w:rPr>
                <w:i/>
                <w:sz w:val="16"/>
                <w:szCs w:val="16"/>
              </w:rPr>
            </w:pPr>
          </w:p>
          <w:p w14:paraId="52D7EBD4" w14:textId="77777777" w:rsidR="00BA0606" w:rsidRPr="00D51C07" w:rsidRDefault="00BA0606" w:rsidP="00912C28">
            <w:pPr>
              <w:rPr>
                <w:i/>
              </w:rPr>
            </w:pPr>
          </w:p>
          <w:p w14:paraId="407F0BA4" w14:textId="77777777" w:rsidR="00BA0606" w:rsidRPr="00711180" w:rsidRDefault="00BA0606" w:rsidP="00711180">
            <w:pPr>
              <w:rPr>
                <w:i/>
              </w:rPr>
            </w:pPr>
          </w:p>
        </w:tc>
        <w:tc>
          <w:tcPr>
            <w:tcW w:w="9032" w:type="dxa"/>
            <w:gridSpan w:val="5"/>
            <w:shd w:val="clear" w:color="auto" w:fill="E2EFD9" w:themeFill="accent6" w:themeFillTint="33"/>
          </w:tcPr>
          <w:p w14:paraId="0D8CE82B" w14:textId="77777777" w:rsidR="00B868DF" w:rsidRDefault="00B868DF" w:rsidP="00B868DF">
            <w:pPr>
              <w:pStyle w:val="p1"/>
            </w:pPr>
            <w:r>
              <w:t>Through analysis of student feedback (Pathways, Student Learning Survey, Bullying Response), attendance trends, and educator reflection, we have identified key patterns:</w:t>
            </w:r>
          </w:p>
          <w:p w14:paraId="71B375DC" w14:textId="77777777" w:rsidR="00B868DF" w:rsidRDefault="00B868DF" w:rsidP="00FC6F1E">
            <w:pPr>
              <w:pStyle w:val="p1"/>
              <w:numPr>
                <w:ilvl w:val="0"/>
                <w:numId w:val="19"/>
              </w:numPr>
            </w:pPr>
            <w:r>
              <w:t>Students experience strong trust and connection with adults in the building.</w:t>
            </w:r>
          </w:p>
          <w:p w14:paraId="0CBD7AA0" w14:textId="77777777" w:rsidR="00B868DF" w:rsidRDefault="00B868DF" w:rsidP="00FC6F1E">
            <w:pPr>
              <w:pStyle w:val="p1"/>
              <w:numPr>
                <w:ilvl w:val="0"/>
                <w:numId w:val="19"/>
              </w:numPr>
            </w:pPr>
            <w:r>
              <w:t>Land-based and cultural learning—particularly language and seasonal cycles—are deeply valued and contribute to positive identity development.</w:t>
            </w:r>
          </w:p>
          <w:p w14:paraId="5C160FC9" w14:textId="77777777" w:rsidR="00B868DF" w:rsidRDefault="00B868DF" w:rsidP="00FC6F1E">
            <w:pPr>
              <w:pStyle w:val="p1"/>
              <w:numPr>
                <w:ilvl w:val="0"/>
                <w:numId w:val="19"/>
              </w:numPr>
            </w:pPr>
            <w:r>
              <w:t>A substantial number of students experience chronic absenteeism, especially in intermediate and secondary grades.</w:t>
            </w:r>
          </w:p>
          <w:p w14:paraId="55686CAF" w14:textId="77777777" w:rsidR="00B868DF" w:rsidRDefault="00B868DF" w:rsidP="00FC6F1E">
            <w:pPr>
              <w:pStyle w:val="p1"/>
              <w:numPr>
                <w:ilvl w:val="0"/>
                <w:numId w:val="19"/>
              </w:numPr>
            </w:pPr>
            <w:r>
              <w:t xml:space="preserve">Many students can articulate </w:t>
            </w:r>
            <w:r>
              <w:rPr>
                <w:i/>
                <w:iCs/>
              </w:rPr>
              <w:t>what</w:t>
            </w:r>
            <w:r>
              <w:t xml:space="preserve"> they are learning, but fewer can identify personal goals or reflect on growth.</w:t>
            </w:r>
          </w:p>
          <w:p w14:paraId="52BF607B" w14:textId="77777777" w:rsidR="00B3221A" w:rsidRDefault="00B868DF" w:rsidP="00B3221A">
            <w:pPr>
              <w:pStyle w:val="p1"/>
              <w:numPr>
                <w:ilvl w:val="0"/>
                <w:numId w:val="19"/>
              </w:numPr>
            </w:pPr>
            <w:r>
              <w:t>Peer relationships remain a challenge. Students report emotional safety concerns, social exclusion, and bullying from peers, even while feeling supported by adults.</w:t>
            </w:r>
          </w:p>
          <w:p w14:paraId="6318EF78" w14:textId="7D561DD1" w:rsidR="00B3221A" w:rsidRDefault="00B3221A" w:rsidP="00B3221A">
            <w:pPr>
              <w:pStyle w:val="p1"/>
              <w:numPr>
                <w:ilvl w:val="0"/>
                <w:numId w:val="19"/>
              </w:numPr>
            </w:pPr>
            <w:r>
              <w:t xml:space="preserve">Schoolwide and provincial assessment data show </w:t>
            </w:r>
            <w:r w:rsidRPr="00B3221A">
              <w:rPr>
                <w:rStyle w:val="s1"/>
                <w:b/>
                <w:bCs/>
              </w:rPr>
              <w:t>persistent challenges in numeracy achievement</w:t>
            </w:r>
            <w:r>
              <w:t>, particularly in the areas of problem-solving, number sense, and applied reasoning. Students in Grades 4, 7, and 10 are performing below district and provincial expectations, with low levels of confidence and success in foundational math skills.</w:t>
            </w:r>
          </w:p>
          <w:p w14:paraId="3D924E55" w14:textId="77777777" w:rsidR="00FC6F1E" w:rsidRDefault="00B3221A" w:rsidP="00B868DF">
            <w:pPr>
              <w:pStyle w:val="p1"/>
            </w:pPr>
            <w:r>
              <w:t xml:space="preserve">These findings confirm that while our school has developed strong cultural and relational foundations, we must now increase our focus on </w:t>
            </w:r>
            <w:r>
              <w:rPr>
                <w:rStyle w:val="s1"/>
                <w:b/>
                <w:bCs/>
              </w:rPr>
              <w:t>academic growth in numeracy</w:t>
            </w:r>
            <w:r>
              <w:t xml:space="preserve">. This includes developing instructional approaches and learner strategies that support </w:t>
            </w:r>
            <w:r>
              <w:rPr>
                <w:rStyle w:val="s1"/>
                <w:b/>
                <w:bCs/>
              </w:rPr>
              <w:t>goal setting, confidence, and achievement in math</w:t>
            </w:r>
            <w:r>
              <w:t>.</w:t>
            </w:r>
          </w:p>
          <w:p w14:paraId="64EE746F" w14:textId="1D310094" w:rsidR="00B3221A" w:rsidRPr="00B868DF" w:rsidRDefault="00B3221A" w:rsidP="00B868DF">
            <w:pPr>
              <w:pStyle w:val="p1"/>
            </w:pPr>
          </w:p>
        </w:tc>
      </w:tr>
      <w:tr w:rsidR="00BA0606" w14:paraId="1052CE00" w14:textId="77777777" w:rsidTr="1C891BF6">
        <w:trPr>
          <w:trHeight w:val="142"/>
        </w:trPr>
        <w:tc>
          <w:tcPr>
            <w:tcW w:w="1892" w:type="dxa"/>
            <w:gridSpan w:val="2"/>
            <w:shd w:val="clear" w:color="auto" w:fill="D9E2F3" w:themeFill="accent5" w:themeFillTint="33"/>
          </w:tcPr>
          <w:p w14:paraId="2D55EE30" w14:textId="77777777" w:rsidR="00BA0606" w:rsidRPr="00D51C07" w:rsidRDefault="00BA0606" w:rsidP="00912C28">
            <w:pPr>
              <w:rPr>
                <w:b/>
                <w:sz w:val="40"/>
                <w:szCs w:val="40"/>
              </w:rPr>
            </w:pPr>
            <w:r>
              <w:rPr>
                <w:b/>
                <w:sz w:val="40"/>
                <w:szCs w:val="40"/>
              </w:rPr>
              <w:lastRenderedPageBreak/>
              <w:t xml:space="preserve"> </w:t>
            </w:r>
            <w:r w:rsidRPr="00D51C07">
              <w:rPr>
                <w:b/>
                <w:sz w:val="40"/>
                <w:szCs w:val="40"/>
              </w:rPr>
              <w:t>Focus</w:t>
            </w:r>
          </w:p>
          <w:p w14:paraId="549F7763" w14:textId="77777777" w:rsidR="00BA0606" w:rsidRPr="00D51C07" w:rsidRDefault="00BA0606" w:rsidP="00912C28">
            <w:pPr>
              <w:rPr>
                <w:b/>
                <w:sz w:val="28"/>
                <w:szCs w:val="28"/>
              </w:rPr>
            </w:pPr>
            <w:r w:rsidRPr="00D51C07">
              <w:rPr>
                <w:b/>
                <w:sz w:val="28"/>
                <w:szCs w:val="28"/>
              </w:rPr>
              <w:t>“What does our focus need to be?”</w:t>
            </w:r>
          </w:p>
          <w:p w14:paraId="04B3E38A" w14:textId="77777777" w:rsidR="00BA0606" w:rsidRDefault="00BA0606" w:rsidP="00912C28"/>
          <w:p w14:paraId="4875DF39" w14:textId="77777777" w:rsidR="00BA0606" w:rsidRDefault="00BA0606" w:rsidP="00912C28"/>
        </w:tc>
        <w:tc>
          <w:tcPr>
            <w:tcW w:w="9032" w:type="dxa"/>
            <w:gridSpan w:val="5"/>
            <w:shd w:val="clear" w:color="auto" w:fill="E2EFD9" w:themeFill="accent6" w:themeFillTint="33"/>
          </w:tcPr>
          <w:p w14:paraId="1614ED02" w14:textId="77777777" w:rsidR="00E505E8" w:rsidRPr="00FC6F1E" w:rsidRDefault="00E505E8" w:rsidP="00E505E8">
            <w:pPr>
              <w:pStyle w:val="p1"/>
              <w:rPr>
                <w:color w:val="000000" w:themeColor="text1"/>
              </w:rPr>
            </w:pPr>
            <w:r w:rsidRPr="00FC6F1E">
              <w:rPr>
                <w:color w:val="000000" w:themeColor="text1"/>
              </w:rPr>
              <w:t>The KESS learning team reflected on the evidence and collaborated to identify two key goals that will frame our work for the 2025–2026 school year. These goals are directly informed by student voice, aligned with our Learning Enhancement Agreement, and support the Ministry’s equity and mental health frameworks.</w:t>
            </w:r>
          </w:p>
          <w:p w14:paraId="616FCC19" w14:textId="5922FEED" w:rsidR="00E505E8" w:rsidRPr="00FC6F1E" w:rsidRDefault="00E505E8" w:rsidP="00FC6F1E">
            <w:pPr>
              <w:pStyle w:val="Heading4"/>
              <w:rPr>
                <w:rFonts w:ascii="Times New Roman" w:hAnsi="Times New Roman" w:cs="Times New Roman"/>
                <w:b/>
                <w:bCs/>
                <w:color w:val="000000" w:themeColor="text1"/>
                <w:sz w:val="24"/>
                <w:szCs w:val="24"/>
              </w:rPr>
            </w:pPr>
            <w:r w:rsidRPr="00FC6F1E">
              <w:rPr>
                <w:rFonts w:ascii="Times New Roman" w:hAnsi="Times New Roman" w:cs="Times New Roman"/>
                <w:b/>
                <w:bCs/>
                <w:color w:val="000000" w:themeColor="text1"/>
                <w:sz w:val="24"/>
                <w:szCs w:val="24"/>
              </w:rPr>
              <w:t>Goal 1: To foster emotionally safe, inclusive peer relationships across all learning environments.</w:t>
            </w:r>
          </w:p>
          <w:p w14:paraId="18F5D73E" w14:textId="77777777" w:rsidR="00E505E8" w:rsidRPr="00FC6F1E" w:rsidRDefault="00E505E8" w:rsidP="00E505E8">
            <w:pPr>
              <w:pStyle w:val="p1"/>
              <w:rPr>
                <w:color w:val="000000" w:themeColor="text1"/>
              </w:rPr>
            </w:pPr>
            <w:r w:rsidRPr="00FC6F1E">
              <w:rPr>
                <w:rStyle w:val="s2"/>
                <w:b/>
                <w:bCs/>
                <w:color w:val="000000" w:themeColor="text1"/>
              </w:rPr>
              <w:t>Objective 1:</w:t>
            </w:r>
            <w:r w:rsidRPr="00FC6F1E">
              <w:rPr>
                <w:color w:val="000000" w:themeColor="text1"/>
              </w:rPr>
              <w:t xml:space="preserve"> Cultivate belonging, respect, and emotional safety among students by embedding social-emotional learning, Nuu-chah-nulth values, and restorative practice into daily routines.</w:t>
            </w:r>
          </w:p>
          <w:p w14:paraId="2A4F182D" w14:textId="77777777" w:rsidR="00E505E8" w:rsidRPr="00FC6F1E" w:rsidRDefault="00E505E8" w:rsidP="00E505E8">
            <w:pPr>
              <w:pStyle w:val="p1"/>
              <w:rPr>
                <w:color w:val="000000" w:themeColor="text1"/>
              </w:rPr>
            </w:pPr>
            <w:r w:rsidRPr="00FC6F1E">
              <w:rPr>
                <w:rStyle w:val="s2"/>
                <w:b/>
                <w:bCs/>
                <w:color w:val="000000" w:themeColor="text1"/>
              </w:rPr>
              <w:t>Objective 2:</w:t>
            </w:r>
            <w:r w:rsidRPr="00FC6F1E">
              <w:rPr>
                <w:color w:val="000000" w:themeColor="text1"/>
              </w:rPr>
              <w:t xml:space="preserve"> Actively reduce bullying through student-led education, prevention strategies, and culturally rooted conflict resolution.</w:t>
            </w:r>
          </w:p>
          <w:p w14:paraId="5D5DA113" w14:textId="2F273788" w:rsidR="00E505E8" w:rsidRPr="00FC6F1E" w:rsidRDefault="00E505E8" w:rsidP="00E505E8">
            <w:pPr>
              <w:pStyle w:val="p4"/>
              <w:rPr>
                <w:color w:val="000000" w:themeColor="text1"/>
              </w:rPr>
            </w:pPr>
            <w:r w:rsidRPr="00FC6F1E">
              <w:rPr>
                <w:b/>
                <w:bCs/>
                <w:color w:val="000000" w:themeColor="text1"/>
              </w:rPr>
              <w:t>Why this is important?</w:t>
            </w:r>
          </w:p>
          <w:p w14:paraId="6BF9465E" w14:textId="77777777" w:rsidR="00E505E8" w:rsidRPr="00FC6F1E" w:rsidRDefault="00E505E8" w:rsidP="00E505E8">
            <w:pPr>
              <w:pStyle w:val="p1"/>
              <w:rPr>
                <w:color w:val="000000" w:themeColor="text1"/>
              </w:rPr>
            </w:pPr>
            <w:r w:rsidRPr="00FC6F1E">
              <w:rPr>
                <w:color w:val="000000" w:themeColor="text1"/>
              </w:rPr>
              <w:t>Belonging is a prerequisite for engagement. When students feel safe with their peers, they are more likely to take risks, attend school consistently, and share their voice. As highlighted in our feedback data, students at KESS do not always feel safe or accepted by peers—even as they describe strong relationships with adults. Addressing peer-to-peer dynamics with proactive tools and cultural values will enhance the safety and wellness of our entire school community.</w:t>
            </w:r>
          </w:p>
          <w:p w14:paraId="550D76A3" w14:textId="77777777" w:rsidR="00E505E8" w:rsidRPr="00FC6F1E" w:rsidRDefault="004117D8" w:rsidP="00E505E8">
            <w:pPr>
              <w:rPr>
                <w:rStyle w:val="s1"/>
                <w:rFonts w:ascii="Times New Roman" w:hAnsi="Times New Roman" w:cs="Times New Roman"/>
                <w:color w:val="000000" w:themeColor="text1"/>
                <w:sz w:val="24"/>
                <w:szCs w:val="24"/>
              </w:rPr>
            </w:pPr>
            <w:r w:rsidRPr="004117D8">
              <w:rPr>
                <w:rStyle w:val="s1"/>
                <w:rFonts w:ascii="Times New Roman" w:hAnsi="Times New Roman" w:cs="Times New Roman"/>
                <w:noProof/>
                <w:color w:val="000000" w:themeColor="text1"/>
                <w:sz w:val="24"/>
                <w:szCs w:val="24"/>
              </w:rPr>
              <w:pict w14:anchorId="0DE7F0FE">
                <v:rect id="_x0000_i1025" alt="" style="width:468pt;height:.05pt;mso-width-percent:0;mso-height-percent:0;mso-width-percent:0;mso-height-percent:0" o:hralign="center" o:hrstd="t" o:hr="t" fillcolor="#a0a0a0" stroked="f"/>
              </w:pict>
            </w:r>
          </w:p>
          <w:p w14:paraId="44F8378C" w14:textId="4CEF53EF" w:rsidR="00E505E8" w:rsidRPr="00FC6F1E" w:rsidRDefault="00E505E8" w:rsidP="00E505E8">
            <w:pPr>
              <w:pStyle w:val="Heading4"/>
              <w:rPr>
                <w:rFonts w:ascii="Times New Roman" w:hAnsi="Times New Roman" w:cs="Times New Roman"/>
                <w:b/>
                <w:bCs/>
                <w:color w:val="000000" w:themeColor="text1"/>
                <w:sz w:val="24"/>
                <w:szCs w:val="24"/>
              </w:rPr>
            </w:pPr>
            <w:r w:rsidRPr="00FC6F1E">
              <w:rPr>
                <w:rFonts w:ascii="Times New Roman" w:hAnsi="Times New Roman" w:cs="Times New Roman"/>
                <w:b/>
                <w:bCs/>
                <w:color w:val="000000" w:themeColor="text1"/>
                <w:sz w:val="24"/>
                <w:szCs w:val="24"/>
              </w:rPr>
              <w:t xml:space="preserve">Goal 2: </w:t>
            </w:r>
            <w:r w:rsidR="00B3221A" w:rsidRPr="00B3221A">
              <w:rPr>
                <w:rFonts w:ascii="Times New Roman" w:hAnsi="Times New Roman" w:cs="Times New Roman"/>
                <w:b/>
                <w:bCs/>
                <w:color w:val="000000" w:themeColor="text1"/>
                <w:sz w:val="24"/>
                <w:szCs w:val="24"/>
              </w:rPr>
              <w:t>To support students to develop agency and academic achievement through personalized goal setting and reflective learning.</w:t>
            </w:r>
          </w:p>
          <w:p w14:paraId="0177CC42" w14:textId="77777777" w:rsidR="00E505E8" w:rsidRPr="00FC6F1E" w:rsidRDefault="00E505E8" w:rsidP="00E505E8">
            <w:pPr>
              <w:pStyle w:val="p1"/>
              <w:rPr>
                <w:color w:val="000000" w:themeColor="text1"/>
              </w:rPr>
            </w:pPr>
            <w:r w:rsidRPr="00FC6F1E">
              <w:rPr>
                <w:rStyle w:val="s2"/>
                <w:b/>
                <w:bCs/>
                <w:color w:val="000000" w:themeColor="text1"/>
              </w:rPr>
              <w:t>Objective 1:</w:t>
            </w:r>
            <w:r w:rsidRPr="00FC6F1E">
              <w:rPr>
                <w:color w:val="000000" w:themeColor="text1"/>
              </w:rPr>
              <w:t xml:space="preserve"> Embed routines that allow students to set learning goals, track progress, and reflect on personal growth across all grades.</w:t>
            </w:r>
          </w:p>
          <w:p w14:paraId="17DB8CAA" w14:textId="643F23DD" w:rsidR="00E505E8" w:rsidRDefault="00E505E8" w:rsidP="00E505E8">
            <w:pPr>
              <w:pStyle w:val="p1"/>
              <w:rPr>
                <w:color w:val="000000" w:themeColor="text1"/>
              </w:rPr>
            </w:pPr>
            <w:r w:rsidRPr="00FC6F1E">
              <w:rPr>
                <w:rStyle w:val="s2"/>
                <w:b/>
                <w:bCs/>
                <w:color w:val="000000" w:themeColor="text1"/>
              </w:rPr>
              <w:t>Objective 2:</w:t>
            </w:r>
            <w:r w:rsidRPr="00FC6F1E">
              <w:rPr>
                <w:color w:val="000000" w:themeColor="text1"/>
              </w:rPr>
              <w:t xml:space="preserve"> Increase the visibility and consistency of success criteria, portfolios, and feedback routines in each learning space.</w:t>
            </w:r>
          </w:p>
          <w:p w14:paraId="65C42913" w14:textId="055E41EB" w:rsidR="00B3221A" w:rsidRPr="00B3221A" w:rsidRDefault="00B3221A" w:rsidP="00E505E8">
            <w:pPr>
              <w:pStyle w:val="p1"/>
            </w:pPr>
            <w:r>
              <w:rPr>
                <w:rStyle w:val="s1"/>
                <w:b/>
                <w:bCs/>
              </w:rPr>
              <w:t>Objective 3:</w:t>
            </w:r>
            <w:r>
              <w:t xml:space="preserve"> Use goal-setting strategies to support increased academic achievement in numeracy, particularly in foundational concepts and problem-solving skills, with specific attention to key transition years (Grades 4, 7, and 10).</w:t>
            </w:r>
          </w:p>
          <w:p w14:paraId="5CB00D94" w14:textId="77777777" w:rsidR="00E505E8" w:rsidRPr="00FC6F1E" w:rsidRDefault="00E505E8" w:rsidP="00E505E8">
            <w:pPr>
              <w:pStyle w:val="p4"/>
              <w:rPr>
                <w:color w:val="000000" w:themeColor="text1"/>
              </w:rPr>
            </w:pPr>
            <w:r w:rsidRPr="00FC6F1E">
              <w:rPr>
                <w:b/>
                <w:bCs/>
                <w:color w:val="000000" w:themeColor="text1"/>
              </w:rPr>
              <w:t>Why this is important:</w:t>
            </w:r>
          </w:p>
          <w:p w14:paraId="6905CCF7" w14:textId="77777777" w:rsidR="00E505E8" w:rsidRDefault="00E505E8" w:rsidP="00E505E8">
            <w:pPr>
              <w:pStyle w:val="p1"/>
              <w:rPr>
                <w:color w:val="000000" w:themeColor="text1"/>
              </w:rPr>
            </w:pPr>
            <w:r w:rsidRPr="00FC6F1E">
              <w:rPr>
                <w:color w:val="000000" w:themeColor="text1"/>
              </w:rPr>
              <w:t xml:space="preserve">Students learn best when they are empowered to understand their growth and advocate for their needs. Our data shows growth in students being able to explain what they are learning. However, fewer students can describe their own learning goals or use </w:t>
            </w:r>
            <w:r w:rsidRPr="00FC6F1E">
              <w:rPr>
                <w:color w:val="000000" w:themeColor="text1"/>
              </w:rPr>
              <w:lastRenderedPageBreak/>
              <w:t>feedback to improve. Strengthening reflection, assessment literacy, and learner agency will support academic achievement and pride in personal progress.</w:t>
            </w:r>
          </w:p>
          <w:p w14:paraId="38F4A74E" w14:textId="68B225E1" w:rsidR="00B3221A" w:rsidRPr="00B3221A" w:rsidRDefault="00B3221A" w:rsidP="00E505E8">
            <w:pPr>
              <w:pStyle w:val="p1"/>
            </w:pPr>
            <w:r>
              <w:t xml:space="preserve">We also recognize that </w:t>
            </w:r>
            <w:r>
              <w:rPr>
                <w:rStyle w:val="s1"/>
                <w:b/>
                <w:bCs/>
              </w:rPr>
              <w:t>numeracy proficiency is a critical foundation</w:t>
            </w:r>
            <w:r>
              <w:t xml:space="preserve"> for future success and confidence in learning. Embedding personalized strategies in math allows students to build the skills, mindset, and resilience necessary to see themselves as capable mathematicians. This approach aligns with the provincial emphasis on learner agency and the district’s strategic priority to improve foundational literacy and numeracy outcomes for all students.</w:t>
            </w:r>
          </w:p>
          <w:p w14:paraId="12C4508C" w14:textId="7A22DE2B" w:rsidR="00B868DF" w:rsidRPr="00FC6F1E" w:rsidRDefault="00B868DF" w:rsidP="00B868DF">
            <w:pPr>
              <w:pStyle w:val="p3"/>
              <w:rPr>
                <w:color w:val="000000" w:themeColor="text1"/>
              </w:rPr>
            </w:pPr>
          </w:p>
        </w:tc>
      </w:tr>
      <w:tr w:rsidR="00BA0606" w14:paraId="0DB0D1F1" w14:textId="77777777" w:rsidTr="1C891BF6">
        <w:trPr>
          <w:trHeight w:val="142"/>
        </w:trPr>
        <w:tc>
          <w:tcPr>
            <w:tcW w:w="1892" w:type="dxa"/>
            <w:gridSpan w:val="2"/>
            <w:shd w:val="clear" w:color="auto" w:fill="D9E2F3" w:themeFill="accent5" w:themeFillTint="33"/>
          </w:tcPr>
          <w:p w14:paraId="53B57FE2" w14:textId="77777777" w:rsidR="00BA0606" w:rsidRPr="00D51C07" w:rsidRDefault="00BA0606" w:rsidP="00912C28">
            <w:pPr>
              <w:rPr>
                <w:b/>
                <w:sz w:val="40"/>
                <w:szCs w:val="40"/>
              </w:rPr>
            </w:pPr>
            <w:r w:rsidRPr="00D51C07">
              <w:rPr>
                <w:b/>
                <w:sz w:val="40"/>
                <w:szCs w:val="40"/>
              </w:rPr>
              <w:lastRenderedPageBreak/>
              <w:t>Developing a Hunch</w:t>
            </w:r>
          </w:p>
          <w:p w14:paraId="74F7EF8B" w14:textId="77777777" w:rsidR="00BA0606" w:rsidRDefault="00BA0606" w:rsidP="00912C28">
            <w:pPr>
              <w:rPr>
                <w:b/>
                <w:sz w:val="28"/>
                <w:szCs w:val="28"/>
              </w:rPr>
            </w:pPr>
            <w:r>
              <w:rPr>
                <w:b/>
                <w:sz w:val="28"/>
                <w:szCs w:val="28"/>
              </w:rPr>
              <w:t>“</w:t>
            </w:r>
            <w:r w:rsidRPr="00D51C07">
              <w:rPr>
                <w:b/>
                <w:sz w:val="28"/>
                <w:szCs w:val="28"/>
              </w:rPr>
              <w:t>How are we contributing to this situation?”</w:t>
            </w:r>
          </w:p>
          <w:p w14:paraId="66AD9DA8" w14:textId="33FB7A57" w:rsidR="00BA0606" w:rsidRPr="00842F49" w:rsidRDefault="00BA0606" w:rsidP="00912C28">
            <w:pPr>
              <w:rPr>
                <w:sz w:val="16"/>
                <w:szCs w:val="16"/>
              </w:rPr>
            </w:pPr>
          </w:p>
        </w:tc>
        <w:tc>
          <w:tcPr>
            <w:tcW w:w="9032" w:type="dxa"/>
            <w:gridSpan w:val="5"/>
            <w:shd w:val="clear" w:color="auto" w:fill="E2EFD9" w:themeFill="accent6" w:themeFillTint="33"/>
          </w:tcPr>
          <w:p w14:paraId="0FD87907" w14:textId="171B4BE8" w:rsidR="00E505E8" w:rsidRDefault="00E505E8" w:rsidP="00E505E8">
            <w:pPr>
              <w:pStyle w:val="p1"/>
            </w:pPr>
            <w:r>
              <w:t>We believe that our strong focus on adult-student relationships, while powerful, has not been fully balanced with structured support for peer relationships and student ownership. SEL is not yet embedded across all learning environments. Feedback and goal setting are not consistently used or visible to students. Our systems, while caring and flexible, have not created the routines and accountability necessary to support peer wellness and student agency across all grades.</w:t>
            </w:r>
          </w:p>
          <w:p w14:paraId="217702D7" w14:textId="701DBB69" w:rsidR="00B868DF" w:rsidRDefault="00E505E8" w:rsidP="00515CB0">
            <w:pPr>
              <w:pStyle w:val="p1"/>
              <w:spacing w:after="0" w:afterAutospacing="0"/>
            </w:pPr>
            <w:r>
              <w:t>Our hunch is that if we intentionally create space for students to connect with peers, take ownership of their goals, and experience pride in learning, we will see improvements in belonging, attendance, and achievement.</w:t>
            </w:r>
            <w:r w:rsidR="00B3221A">
              <w:t xml:space="preserve"> We are curious to determine if the lack of visible success and goal tracking in numeracy has contributed to low student confidence and achievement in this area. Without meaningful opportunities to experience growth and mastery in math, some students disengage. By increasing clarity, feedback, and personal ownership in numeracy—especially through culturally responsive, real-world approaches—we can support stronger foundational understanding and long-term academic success.</w:t>
            </w:r>
          </w:p>
          <w:p w14:paraId="2D86211B" w14:textId="0D3BBF3A" w:rsidR="00E505E8" w:rsidRPr="00B868DF" w:rsidRDefault="00E505E8" w:rsidP="00B868DF">
            <w:pPr>
              <w:pStyle w:val="p1"/>
            </w:pPr>
          </w:p>
        </w:tc>
      </w:tr>
      <w:tr w:rsidR="00BA0606" w14:paraId="79B128E7" w14:textId="77777777" w:rsidTr="1C891BF6">
        <w:trPr>
          <w:trHeight w:val="142"/>
        </w:trPr>
        <w:tc>
          <w:tcPr>
            <w:tcW w:w="1892" w:type="dxa"/>
            <w:gridSpan w:val="2"/>
            <w:shd w:val="clear" w:color="auto" w:fill="D9E2F3" w:themeFill="accent5" w:themeFillTint="33"/>
          </w:tcPr>
          <w:p w14:paraId="5372C8D1" w14:textId="77777777" w:rsidR="00BA0606" w:rsidRPr="00D51C07" w:rsidRDefault="00BA0606" w:rsidP="00912C28">
            <w:pPr>
              <w:rPr>
                <w:b/>
                <w:sz w:val="40"/>
                <w:szCs w:val="40"/>
              </w:rPr>
            </w:pPr>
            <w:r w:rsidRPr="00D51C07">
              <w:rPr>
                <w:b/>
                <w:sz w:val="40"/>
                <w:szCs w:val="40"/>
              </w:rPr>
              <w:t>Professional Learning</w:t>
            </w:r>
          </w:p>
          <w:p w14:paraId="758ED197" w14:textId="77777777" w:rsidR="00BA0606" w:rsidRDefault="00BA0606" w:rsidP="00912C28">
            <w:pPr>
              <w:rPr>
                <w:b/>
                <w:sz w:val="28"/>
                <w:szCs w:val="28"/>
              </w:rPr>
            </w:pPr>
            <w:r w:rsidRPr="00D51C07">
              <w:rPr>
                <w:b/>
                <w:sz w:val="28"/>
                <w:szCs w:val="28"/>
              </w:rPr>
              <w:t>“How and where can we learn more about how to address this situation?”</w:t>
            </w:r>
          </w:p>
          <w:p w14:paraId="3E3DF071" w14:textId="77777777" w:rsidR="00BA0606" w:rsidRDefault="00BA0606" w:rsidP="00912C28">
            <w:pPr>
              <w:rPr>
                <w:sz w:val="16"/>
                <w:szCs w:val="16"/>
              </w:rPr>
            </w:pPr>
          </w:p>
          <w:p w14:paraId="0987D43F" w14:textId="77777777" w:rsidR="00BA0606" w:rsidRDefault="00BA0606" w:rsidP="00912C28">
            <w:pPr>
              <w:rPr>
                <w:sz w:val="16"/>
                <w:szCs w:val="16"/>
              </w:rPr>
            </w:pPr>
          </w:p>
          <w:p w14:paraId="2959D876" w14:textId="77777777" w:rsidR="00BA0606" w:rsidRDefault="00BA0606" w:rsidP="00912C28">
            <w:pPr>
              <w:rPr>
                <w:sz w:val="16"/>
                <w:szCs w:val="16"/>
              </w:rPr>
            </w:pPr>
          </w:p>
          <w:p w14:paraId="030B7BA1" w14:textId="31FDEF96" w:rsidR="00BA0606" w:rsidRPr="00842F49" w:rsidRDefault="00BA0606" w:rsidP="00912C28">
            <w:pPr>
              <w:rPr>
                <w:sz w:val="16"/>
                <w:szCs w:val="16"/>
              </w:rPr>
            </w:pPr>
          </w:p>
        </w:tc>
        <w:tc>
          <w:tcPr>
            <w:tcW w:w="9032" w:type="dxa"/>
            <w:gridSpan w:val="5"/>
            <w:shd w:val="clear" w:color="auto" w:fill="E2EFD9" w:themeFill="accent6" w:themeFillTint="33"/>
          </w:tcPr>
          <w:p w14:paraId="62BA5337" w14:textId="20423E21" w:rsidR="00E505E8" w:rsidRPr="00FC6F1E" w:rsidRDefault="00BA0606" w:rsidP="00E505E8">
            <w:pPr>
              <w:jc w:val="both"/>
              <w:rPr>
                <w:rFonts w:ascii="Times New Roman" w:hAnsi="Times New Roman" w:cs="Times New Roman"/>
                <w:sz w:val="24"/>
                <w:szCs w:val="24"/>
              </w:rPr>
            </w:pPr>
            <w:r w:rsidRPr="00FC6F1E">
              <w:rPr>
                <w:rFonts w:ascii="Times New Roman" w:eastAsiaTheme="minorEastAsia" w:hAnsi="Times New Roman" w:cs="Times New Roman"/>
                <w:sz w:val="24"/>
                <w:szCs w:val="24"/>
              </w:rPr>
              <w:t>Professional learning to meet the needs of this Plan will be done to help teachers to identify ‘How and where we can learn more about what to do?’</w:t>
            </w:r>
            <w:r w:rsidR="00E505E8" w:rsidRPr="00FC6F1E">
              <w:rPr>
                <w:rFonts w:ascii="Times New Roman" w:eastAsiaTheme="minorEastAsia" w:hAnsi="Times New Roman" w:cs="Times New Roman"/>
                <w:sz w:val="24"/>
                <w:szCs w:val="24"/>
              </w:rPr>
              <w:t xml:space="preserve"> To support the meeting of these goals, our </w:t>
            </w:r>
            <w:r w:rsidR="00E505E8" w:rsidRPr="00FC6F1E">
              <w:rPr>
                <w:rFonts w:ascii="Times New Roman" w:hAnsi="Times New Roman" w:cs="Times New Roman"/>
                <w:sz w:val="24"/>
                <w:szCs w:val="24"/>
              </w:rPr>
              <w:t>school team will engage in professional learning that supports the goals outlined above. These include:</w:t>
            </w:r>
          </w:p>
          <w:p w14:paraId="21174EEE" w14:textId="77777777" w:rsidR="00E505E8" w:rsidRPr="00FC6F1E" w:rsidRDefault="00E505E8" w:rsidP="00B3221A">
            <w:pPr>
              <w:pStyle w:val="p1"/>
              <w:numPr>
                <w:ilvl w:val="0"/>
                <w:numId w:val="20"/>
              </w:numPr>
            </w:pPr>
            <w:r w:rsidRPr="00FC6F1E">
              <w:t xml:space="preserve">Implementing the </w:t>
            </w:r>
            <w:r w:rsidRPr="00FC6F1E">
              <w:rPr>
                <w:rStyle w:val="s1"/>
                <w:rFonts w:eastAsiaTheme="minorEastAsia"/>
                <w:b/>
                <w:bCs/>
              </w:rPr>
              <w:t>Circle of Courage</w:t>
            </w:r>
            <w:r w:rsidRPr="00FC6F1E">
              <w:t xml:space="preserve"> framework as a foundation for SEL and peer support.</w:t>
            </w:r>
          </w:p>
          <w:p w14:paraId="163BD429" w14:textId="77777777" w:rsidR="00E505E8" w:rsidRPr="00FC6F1E" w:rsidRDefault="00E505E8" w:rsidP="00B3221A">
            <w:pPr>
              <w:pStyle w:val="p1"/>
              <w:numPr>
                <w:ilvl w:val="0"/>
                <w:numId w:val="20"/>
              </w:numPr>
            </w:pPr>
            <w:r w:rsidRPr="00FC6F1E">
              <w:t>Embedding culturally grounded SEL routines using teachings from Elders and Knowledge Keepers.</w:t>
            </w:r>
          </w:p>
          <w:p w14:paraId="1046D841" w14:textId="77777777" w:rsidR="00E505E8" w:rsidRPr="00FC6F1E" w:rsidRDefault="00E505E8" w:rsidP="00B3221A">
            <w:pPr>
              <w:pStyle w:val="p1"/>
              <w:numPr>
                <w:ilvl w:val="0"/>
                <w:numId w:val="20"/>
              </w:numPr>
            </w:pPr>
            <w:r w:rsidRPr="00FC6F1E">
              <w:t xml:space="preserve">Strengthening our use of </w:t>
            </w:r>
            <w:r w:rsidRPr="00FC6F1E">
              <w:rPr>
                <w:rStyle w:val="s1"/>
                <w:rFonts w:eastAsiaTheme="minorEastAsia"/>
                <w:b/>
                <w:bCs/>
              </w:rPr>
              <w:t>restorative practices</w:t>
            </w:r>
            <w:r w:rsidRPr="00FC6F1E">
              <w:t xml:space="preserve"> to address and reduce bullying.</w:t>
            </w:r>
          </w:p>
          <w:p w14:paraId="08E2E14D" w14:textId="0F12EBC8" w:rsidR="00E505E8" w:rsidRPr="00B3221A" w:rsidRDefault="00E505E8" w:rsidP="00B3221A">
            <w:pPr>
              <w:pStyle w:val="p1"/>
              <w:numPr>
                <w:ilvl w:val="0"/>
                <w:numId w:val="20"/>
              </w:numPr>
              <w:rPr>
                <w:rStyle w:val="s1"/>
              </w:rPr>
            </w:pPr>
            <w:r w:rsidRPr="00FC6F1E">
              <w:rPr>
                <w:rStyle w:val="s1"/>
                <w:rFonts w:eastAsiaTheme="minorEastAsia"/>
              </w:rPr>
              <w:t xml:space="preserve">Building systems for </w:t>
            </w:r>
            <w:r w:rsidRPr="00FC6F1E">
              <w:rPr>
                <w:b/>
                <w:bCs/>
              </w:rPr>
              <w:t>student goal setting</w:t>
            </w:r>
            <w:r w:rsidRPr="00FC6F1E">
              <w:rPr>
                <w:rStyle w:val="s1"/>
                <w:rFonts w:eastAsiaTheme="minorEastAsia"/>
              </w:rPr>
              <w:t xml:space="preserve">, </w:t>
            </w:r>
            <w:r w:rsidRPr="00FC6F1E">
              <w:rPr>
                <w:b/>
                <w:bCs/>
              </w:rPr>
              <w:t>portfolio documentation</w:t>
            </w:r>
            <w:r w:rsidRPr="00FC6F1E">
              <w:rPr>
                <w:rStyle w:val="s1"/>
                <w:rFonts w:eastAsiaTheme="minorEastAsia"/>
              </w:rPr>
              <w:t xml:space="preserve">, and </w:t>
            </w:r>
            <w:r w:rsidRPr="00FC6F1E">
              <w:rPr>
                <w:b/>
                <w:bCs/>
              </w:rPr>
              <w:t>formative feedback</w:t>
            </w:r>
            <w:r w:rsidRPr="00FC6F1E">
              <w:rPr>
                <w:rStyle w:val="s1"/>
                <w:rFonts w:eastAsiaTheme="minorEastAsia"/>
              </w:rPr>
              <w:t>.</w:t>
            </w:r>
          </w:p>
          <w:p w14:paraId="365DD827" w14:textId="6B94D8ED" w:rsidR="00B3221A" w:rsidRPr="00FC6F1E" w:rsidRDefault="00B3221A" w:rsidP="00B3221A">
            <w:pPr>
              <w:pStyle w:val="p1"/>
              <w:numPr>
                <w:ilvl w:val="0"/>
                <w:numId w:val="20"/>
              </w:numPr>
            </w:pPr>
            <w:r>
              <w:t xml:space="preserve">Deepen instructional strategies and formative assessment practices in numeracy, with a focus on </w:t>
            </w:r>
            <w:r w:rsidR="00515CB0">
              <w:t>goal setting</w:t>
            </w:r>
            <w:r>
              <w:t>, feedback, and growth mindset development</w:t>
            </w:r>
          </w:p>
          <w:p w14:paraId="02E9F67B" w14:textId="77777777" w:rsidR="00E505E8" w:rsidRPr="00FC6F1E" w:rsidRDefault="00E505E8" w:rsidP="00B3221A">
            <w:pPr>
              <w:pStyle w:val="p1"/>
              <w:numPr>
                <w:ilvl w:val="0"/>
                <w:numId w:val="20"/>
              </w:numPr>
            </w:pPr>
            <w:r w:rsidRPr="00FC6F1E">
              <w:t>Developing trauma-informed attendance strategies that reflect wellness, connection, and equity.</w:t>
            </w:r>
          </w:p>
          <w:p w14:paraId="1252486D" w14:textId="3FD569A8" w:rsidR="00E505E8" w:rsidRPr="00FC6F1E" w:rsidRDefault="00E505E8" w:rsidP="00B3221A">
            <w:pPr>
              <w:pStyle w:val="p1"/>
              <w:numPr>
                <w:ilvl w:val="0"/>
                <w:numId w:val="20"/>
              </w:numPr>
            </w:pPr>
            <w:r w:rsidRPr="00FC6F1E">
              <w:lastRenderedPageBreak/>
              <w:t xml:space="preserve">Enhancing </w:t>
            </w:r>
            <w:r w:rsidRPr="00FC6F1E">
              <w:rPr>
                <w:rStyle w:val="s1"/>
                <w:rFonts w:eastAsiaTheme="minorEastAsia"/>
                <w:b/>
                <w:bCs/>
              </w:rPr>
              <w:t>learning partnerships with families and the community</w:t>
            </w:r>
            <w:r w:rsidRPr="00FC6F1E">
              <w:t>, including increased visibility of cultural learning and inclusion of parents in planning and celebrations</w:t>
            </w:r>
          </w:p>
        </w:tc>
      </w:tr>
      <w:tr w:rsidR="00BA0606" w14:paraId="041C2B00" w14:textId="77777777" w:rsidTr="1C891BF6">
        <w:trPr>
          <w:trHeight w:val="142"/>
        </w:trPr>
        <w:tc>
          <w:tcPr>
            <w:tcW w:w="1892" w:type="dxa"/>
            <w:gridSpan w:val="2"/>
            <w:shd w:val="clear" w:color="auto" w:fill="D9E2F3" w:themeFill="accent5" w:themeFillTint="33"/>
          </w:tcPr>
          <w:p w14:paraId="1C7B25AC" w14:textId="77777777" w:rsidR="00BA0606" w:rsidRPr="00D51C07" w:rsidRDefault="00BA0606" w:rsidP="00912C28">
            <w:pPr>
              <w:rPr>
                <w:b/>
                <w:sz w:val="40"/>
                <w:szCs w:val="40"/>
              </w:rPr>
            </w:pPr>
            <w:proofErr w:type="gramStart"/>
            <w:r w:rsidRPr="00D51C07">
              <w:rPr>
                <w:b/>
                <w:sz w:val="40"/>
                <w:szCs w:val="40"/>
              </w:rPr>
              <w:lastRenderedPageBreak/>
              <w:t>Taking Action</w:t>
            </w:r>
            <w:proofErr w:type="gramEnd"/>
          </w:p>
          <w:p w14:paraId="1427C2BE" w14:textId="6245D1CD" w:rsidR="00BA0606" w:rsidRPr="00DD0097" w:rsidRDefault="00BA0606" w:rsidP="00711180">
            <w:pPr>
              <w:rPr>
                <w:b/>
                <w:sz w:val="28"/>
                <w:szCs w:val="28"/>
              </w:rPr>
            </w:pPr>
            <w:r w:rsidRPr="00D51C07">
              <w:rPr>
                <w:b/>
                <w:sz w:val="28"/>
                <w:szCs w:val="28"/>
              </w:rPr>
              <w:t>“What will we do differently?”</w:t>
            </w:r>
          </w:p>
        </w:tc>
        <w:tc>
          <w:tcPr>
            <w:tcW w:w="9032" w:type="dxa"/>
            <w:gridSpan w:val="5"/>
            <w:shd w:val="clear" w:color="auto" w:fill="E2EFD9" w:themeFill="accent6" w:themeFillTint="33"/>
          </w:tcPr>
          <w:p w14:paraId="12ED3EFB" w14:textId="446DFADF" w:rsidR="00E505E8" w:rsidRPr="00FC6F1E" w:rsidRDefault="00BA0606" w:rsidP="5BB0B511">
            <w:pPr>
              <w:pStyle w:val="NoSpacing"/>
              <w:rPr>
                <w:rFonts w:ascii="Times New Roman" w:hAnsi="Times New Roman" w:cs="Times New Roman"/>
                <w:sz w:val="24"/>
                <w:szCs w:val="24"/>
              </w:rPr>
            </w:pPr>
            <w:proofErr w:type="gramStart"/>
            <w:r w:rsidRPr="5BB0B511">
              <w:rPr>
                <w:rFonts w:ascii="Times New Roman" w:hAnsi="Times New Roman" w:cs="Times New Roman"/>
                <w:sz w:val="24"/>
                <w:szCs w:val="24"/>
              </w:rPr>
              <w:t xml:space="preserve">Taking </w:t>
            </w:r>
            <w:r w:rsidR="00515CB0" w:rsidRPr="5BB0B511">
              <w:rPr>
                <w:rFonts w:ascii="Times New Roman" w:hAnsi="Times New Roman" w:cs="Times New Roman"/>
                <w:sz w:val="24"/>
                <w:szCs w:val="24"/>
              </w:rPr>
              <w:t>A</w:t>
            </w:r>
            <w:r w:rsidRPr="5BB0B511">
              <w:rPr>
                <w:rFonts w:ascii="Times New Roman" w:hAnsi="Times New Roman" w:cs="Times New Roman"/>
                <w:sz w:val="24"/>
                <w:szCs w:val="24"/>
              </w:rPr>
              <w:t>ction</w:t>
            </w:r>
            <w:proofErr w:type="gramEnd"/>
            <w:r w:rsidRPr="5BB0B511">
              <w:rPr>
                <w:rFonts w:ascii="Times New Roman" w:hAnsi="Times New Roman" w:cs="Times New Roman"/>
                <w:sz w:val="24"/>
                <w:szCs w:val="24"/>
              </w:rPr>
              <w:t xml:space="preserve"> is about thinking more deeply about new ideas and using them to inform action. It involves understanding that when doing something differently, effectiveness is judged by the impact on learners and their learning; </w:t>
            </w:r>
            <w:proofErr w:type="gramStart"/>
            <w:r w:rsidRPr="5BB0B511">
              <w:rPr>
                <w:rFonts w:ascii="Times New Roman" w:hAnsi="Times New Roman" w:cs="Times New Roman"/>
                <w:sz w:val="24"/>
                <w:szCs w:val="24"/>
              </w:rPr>
              <w:t>and also</w:t>
            </w:r>
            <w:proofErr w:type="gramEnd"/>
            <w:r w:rsidRPr="5BB0B511">
              <w:rPr>
                <w:rFonts w:ascii="Times New Roman" w:hAnsi="Times New Roman" w:cs="Times New Roman"/>
                <w:sz w:val="24"/>
                <w:szCs w:val="24"/>
              </w:rPr>
              <w:t xml:space="preserve"> understanding why some practices are more powerful than others. </w:t>
            </w:r>
            <w:r w:rsidR="00E505E8" w:rsidRPr="5BB0B511">
              <w:rPr>
                <w:rFonts w:ascii="Times New Roman" w:hAnsi="Times New Roman" w:cs="Times New Roman"/>
                <w:sz w:val="24"/>
                <w:szCs w:val="24"/>
              </w:rPr>
              <w:t>T</w:t>
            </w:r>
            <w:r w:rsidRPr="5BB0B511">
              <w:rPr>
                <w:rFonts w:ascii="Times New Roman" w:hAnsi="Times New Roman" w:cs="Times New Roman"/>
                <w:sz w:val="24"/>
                <w:szCs w:val="24"/>
              </w:rPr>
              <w:t xml:space="preserve">he staff at Kyuquot Elementary Secondary School will engage in ongoing professional learning and collaboration focused on </w:t>
            </w:r>
            <w:r w:rsidR="00FC6F1E" w:rsidRPr="5BB0B511">
              <w:rPr>
                <w:rFonts w:ascii="Times New Roman" w:hAnsi="Times New Roman" w:cs="Times New Roman"/>
                <w:sz w:val="24"/>
                <w:szCs w:val="24"/>
              </w:rPr>
              <w:t xml:space="preserve">goals to: </w:t>
            </w:r>
          </w:p>
          <w:p w14:paraId="383F2FBE" w14:textId="77777777" w:rsidR="00E505E8" w:rsidRPr="00FC6F1E" w:rsidRDefault="00E505E8" w:rsidP="00E505E8">
            <w:pPr>
              <w:pStyle w:val="NoSpacing"/>
              <w:rPr>
                <w:rFonts w:ascii="Times New Roman" w:hAnsi="Times New Roman" w:cs="Times New Roman"/>
                <w:sz w:val="24"/>
                <w:szCs w:val="24"/>
              </w:rPr>
            </w:pPr>
          </w:p>
          <w:p w14:paraId="71020878" w14:textId="3295CF51" w:rsidR="00E505E8" w:rsidRPr="00FC6F1E" w:rsidRDefault="00E505E8" w:rsidP="00B3221A">
            <w:pPr>
              <w:pStyle w:val="NoSpacing"/>
              <w:numPr>
                <w:ilvl w:val="0"/>
                <w:numId w:val="21"/>
              </w:numPr>
              <w:rPr>
                <w:rFonts w:ascii="Times New Roman" w:hAnsi="Times New Roman" w:cs="Times New Roman"/>
                <w:sz w:val="24"/>
                <w:szCs w:val="24"/>
              </w:rPr>
            </w:pPr>
            <w:r w:rsidRPr="00FC6F1E">
              <w:rPr>
                <w:rFonts w:ascii="Times New Roman" w:hAnsi="Times New Roman" w:cs="Times New Roman"/>
                <w:sz w:val="24"/>
                <w:szCs w:val="24"/>
              </w:rPr>
              <w:t>Create and implement a school-wide reflection and goal-setting model that supports personalized learning across all grades.</w:t>
            </w:r>
          </w:p>
          <w:p w14:paraId="760BE5E4" w14:textId="77777777" w:rsidR="00E505E8" w:rsidRPr="00FC6F1E" w:rsidRDefault="00E505E8" w:rsidP="00B3221A">
            <w:pPr>
              <w:pStyle w:val="p1"/>
              <w:numPr>
                <w:ilvl w:val="0"/>
                <w:numId w:val="21"/>
              </w:numPr>
            </w:pPr>
            <w:r w:rsidRPr="00FC6F1E">
              <w:t>Develop student portfolios and embed them into classroom routines and student-led conferences.</w:t>
            </w:r>
          </w:p>
          <w:p w14:paraId="417F573C" w14:textId="77777777" w:rsidR="00E505E8" w:rsidRPr="00FC6F1E" w:rsidRDefault="00E505E8" w:rsidP="00B3221A">
            <w:pPr>
              <w:pStyle w:val="p1"/>
              <w:numPr>
                <w:ilvl w:val="0"/>
                <w:numId w:val="21"/>
              </w:numPr>
            </w:pPr>
            <w:r w:rsidRPr="00FC6F1E">
              <w:t>Co-create a student-led peer belonging and kindness campaign rooted in Nuu-chah-nulth teachings.</w:t>
            </w:r>
          </w:p>
          <w:p w14:paraId="4D4278EE" w14:textId="6683FF4A" w:rsidR="00E505E8" w:rsidRDefault="00E505E8" w:rsidP="00B3221A">
            <w:pPr>
              <w:pStyle w:val="p1"/>
              <w:numPr>
                <w:ilvl w:val="0"/>
                <w:numId w:val="21"/>
              </w:numPr>
            </w:pPr>
            <w:r w:rsidRPr="00FC6F1E">
              <w:t>Establishing SEL instruction time, using a scope and sequence aligned with cultural values and the Circle of Courage.</w:t>
            </w:r>
          </w:p>
          <w:p w14:paraId="6AE55A3F" w14:textId="74F5F90C" w:rsidR="00B3221A" w:rsidRPr="00FC6F1E" w:rsidRDefault="00B3221A" w:rsidP="00B3221A">
            <w:pPr>
              <w:pStyle w:val="p1"/>
              <w:numPr>
                <w:ilvl w:val="0"/>
                <w:numId w:val="21"/>
              </w:numPr>
            </w:pPr>
            <w:r>
              <w:t>Design and implement personalized numeracy pathways using learning goals, student conferencing, and portfolio artifacts to support growth and celebrate improvement</w:t>
            </w:r>
          </w:p>
          <w:p w14:paraId="735AA4AB" w14:textId="77777777" w:rsidR="00E505E8" w:rsidRPr="00FC6F1E" w:rsidRDefault="00E505E8" w:rsidP="00B3221A">
            <w:pPr>
              <w:pStyle w:val="p1"/>
              <w:numPr>
                <w:ilvl w:val="0"/>
                <w:numId w:val="21"/>
              </w:numPr>
            </w:pPr>
            <w:r w:rsidRPr="00FC6F1E">
              <w:t>Continue to expand opportunities for land-based and cultural learning, including seasonal learning and language revitalization with KCFN support.</w:t>
            </w:r>
          </w:p>
          <w:p w14:paraId="5466BAE1" w14:textId="5BE462F1" w:rsidR="00BA0606" w:rsidRPr="00FC6F1E" w:rsidRDefault="00E505E8" w:rsidP="00B3221A">
            <w:pPr>
              <w:pStyle w:val="p1"/>
              <w:numPr>
                <w:ilvl w:val="0"/>
                <w:numId w:val="21"/>
              </w:numPr>
            </w:pPr>
            <w:r w:rsidRPr="00FC6F1E">
              <w:t>Invite parents and caregivers into classrooms and celebrations more frequently to support community connection and visibility.</w:t>
            </w:r>
          </w:p>
        </w:tc>
      </w:tr>
      <w:tr w:rsidR="00BA0606" w14:paraId="3FAB117C" w14:textId="77777777" w:rsidTr="1C891BF6">
        <w:trPr>
          <w:trHeight w:val="142"/>
        </w:trPr>
        <w:tc>
          <w:tcPr>
            <w:tcW w:w="1892" w:type="dxa"/>
            <w:gridSpan w:val="2"/>
            <w:tcBorders>
              <w:bottom w:val="single" w:sz="4" w:space="0" w:color="auto"/>
            </w:tcBorders>
            <w:shd w:val="clear" w:color="auto" w:fill="D9E2F3" w:themeFill="accent5" w:themeFillTint="33"/>
          </w:tcPr>
          <w:p w14:paraId="47AA49A2" w14:textId="77777777" w:rsidR="00BA0606" w:rsidRPr="00D51C07" w:rsidRDefault="00BA0606" w:rsidP="00912C28">
            <w:pPr>
              <w:rPr>
                <w:b/>
                <w:sz w:val="40"/>
                <w:szCs w:val="40"/>
              </w:rPr>
            </w:pPr>
            <w:r w:rsidRPr="00D51C07">
              <w:rPr>
                <w:b/>
                <w:sz w:val="40"/>
                <w:szCs w:val="40"/>
              </w:rPr>
              <w:t>Checking</w:t>
            </w:r>
          </w:p>
          <w:p w14:paraId="6AD7B340" w14:textId="77777777" w:rsidR="00BA0606" w:rsidRPr="00D51C07" w:rsidRDefault="00BA0606" w:rsidP="00912C28">
            <w:pPr>
              <w:rPr>
                <w:b/>
                <w:sz w:val="28"/>
                <w:szCs w:val="28"/>
              </w:rPr>
            </w:pPr>
            <w:r w:rsidRPr="00D51C07">
              <w:rPr>
                <w:b/>
                <w:sz w:val="28"/>
                <w:szCs w:val="28"/>
              </w:rPr>
              <w:t>“Have we made enough of a difference?”</w:t>
            </w:r>
          </w:p>
          <w:p w14:paraId="70049190" w14:textId="77777777" w:rsidR="00BA0606" w:rsidRDefault="00BA0606" w:rsidP="00912C28"/>
          <w:p w14:paraId="55DF3DE6" w14:textId="77777777" w:rsidR="00BA0606" w:rsidRDefault="00BA0606" w:rsidP="00912C28"/>
        </w:tc>
        <w:tc>
          <w:tcPr>
            <w:tcW w:w="9032" w:type="dxa"/>
            <w:gridSpan w:val="5"/>
            <w:tcBorders>
              <w:bottom w:val="single" w:sz="4" w:space="0" w:color="auto"/>
            </w:tcBorders>
            <w:shd w:val="clear" w:color="auto" w:fill="E2EFD9" w:themeFill="accent6" w:themeFillTint="33"/>
          </w:tcPr>
          <w:p w14:paraId="7B77F48E" w14:textId="77777777" w:rsidR="00E505E8" w:rsidRDefault="00E505E8" w:rsidP="00E505E8">
            <w:pPr>
              <w:pStyle w:val="p1"/>
            </w:pPr>
            <w:r>
              <w:t>To assess the impact of our actions, we will monitor:</w:t>
            </w:r>
          </w:p>
          <w:p w14:paraId="43EDD742" w14:textId="17363B3A" w:rsidR="00E505E8" w:rsidRDefault="00E505E8" w:rsidP="00B3221A">
            <w:pPr>
              <w:pStyle w:val="p1"/>
              <w:numPr>
                <w:ilvl w:val="0"/>
                <w:numId w:val="22"/>
              </w:numPr>
            </w:pPr>
            <w:r>
              <w:t>Student Learning Survey and Pathways responses</w:t>
            </w:r>
          </w:p>
          <w:p w14:paraId="1667D991" w14:textId="77777777" w:rsidR="00E505E8" w:rsidRDefault="00E505E8" w:rsidP="00B3221A">
            <w:pPr>
              <w:pStyle w:val="p1"/>
              <w:numPr>
                <w:ilvl w:val="0"/>
                <w:numId w:val="22"/>
              </w:numPr>
            </w:pPr>
            <w:r>
              <w:t>Peer belonging and bullying check-ins at multiple points in the year.</w:t>
            </w:r>
          </w:p>
          <w:p w14:paraId="29125A4E" w14:textId="77777777" w:rsidR="00E505E8" w:rsidRDefault="00E505E8" w:rsidP="00B3221A">
            <w:pPr>
              <w:pStyle w:val="p1"/>
              <w:numPr>
                <w:ilvl w:val="0"/>
                <w:numId w:val="22"/>
              </w:numPr>
            </w:pPr>
            <w:r>
              <w:t>Learning portfolios and goal reviews at the end of each term.</w:t>
            </w:r>
          </w:p>
          <w:p w14:paraId="401F38E1" w14:textId="77777777" w:rsidR="00E505E8" w:rsidRDefault="00E505E8" w:rsidP="00B3221A">
            <w:pPr>
              <w:pStyle w:val="p1"/>
              <w:numPr>
                <w:ilvl w:val="0"/>
                <w:numId w:val="22"/>
              </w:numPr>
            </w:pPr>
            <w:r>
              <w:t>Attendance tracking and early intervention.</w:t>
            </w:r>
          </w:p>
          <w:p w14:paraId="1040D205" w14:textId="6BC505B7" w:rsidR="00E505E8" w:rsidRDefault="00E505E8" w:rsidP="00B3221A">
            <w:pPr>
              <w:pStyle w:val="p1"/>
              <w:numPr>
                <w:ilvl w:val="0"/>
                <w:numId w:val="22"/>
              </w:numPr>
            </w:pPr>
            <w:r>
              <w:t>Staff reflection journals on SEL, student engagement, and peer dynamics.</w:t>
            </w:r>
          </w:p>
          <w:p w14:paraId="5801F493" w14:textId="64B3E5DC" w:rsidR="00B3221A" w:rsidRDefault="00B3221A" w:rsidP="00B3221A">
            <w:pPr>
              <w:pStyle w:val="p1"/>
              <w:numPr>
                <w:ilvl w:val="0"/>
                <w:numId w:val="22"/>
              </w:numPr>
            </w:pPr>
            <w:r>
              <w:t>Provincial numeracy assessments (FSA Grades 4 and 7, Graduation Numeracy Assessment at Grade 10), tracked alongside student reflections and goal achievement</w:t>
            </w:r>
          </w:p>
          <w:p w14:paraId="705673F2" w14:textId="64861411" w:rsidR="00BA0606" w:rsidRPr="00B3221A" w:rsidRDefault="00E505E8" w:rsidP="00B3221A">
            <w:pPr>
              <w:pStyle w:val="p1"/>
            </w:pPr>
            <w:r>
              <w:t>We aim to see improved emotional safety, increased student agency, reduced absenteeism, and stronger peer-to-peer relationships.</w:t>
            </w:r>
          </w:p>
        </w:tc>
      </w:tr>
      <w:tr w:rsidR="000D2800" w14:paraId="19189623" w14:textId="77777777" w:rsidTr="1C891BF6">
        <w:trPr>
          <w:trHeight w:val="142"/>
        </w:trPr>
        <w:tc>
          <w:tcPr>
            <w:tcW w:w="1115" w:type="dxa"/>
            <w:shd w:val="clear" w:color="auto" w:fill="D9E2F3" w:themeFill="accent5" w:themeFillTint="33"/>
          </w:tcPr>
          <w:p w14:paraId="1E51E798" w14:textId="77777777" w:rsidR="000D2800" w:rsidRPr="00B156CD" w:rsidRDefault="000D2800" w:rsidP="00D7033F">
            <w:pPr>
              <w:jc w:val="center"/>
              <w:rPr>
                <w:b/>
                <w:sz w:val="40"/>
                <w:szCs w:val="40"/>
              </w:rPr>
            </w:pPr>
          </w:p>
        </w:tc>
        <w:tc>
          <w:tcPr>
            <w:tcW w:w="9809" w:type="dxa"/>
            <w:gridSpan w:val="6"/>
            <w:shd w:val="clear" w:color="auto" w:fill="D9E2F3" w:themeFill="accent5" w:themeFillTint="33"/>
          </w:tcPr>
          <w:p w14:paraId="20CAA494" w14:textId="35266DE0" w:rsidR="000D2800" w:rsidRPr="00B156CD" w:rsidRDefault="000D2800" w:rsidP="00D7033F">
            <w:pPr>
              <w:jc w:val="center"/>
              <w:rPr>
                <w:b/>
                <w:sz w:val="40"/>
                <w:szCs w:val="40"/>
              </w:rPr>
            </w:pPr>
            <w:r w:rsidRPr="00B156CD">
              <w:rPr>
                <w:b/>
                <w:sz w:val="40"/>
                <w:szCs w:val="40"/>
              </w:rPr>
              <w:t>Measures – How are we doing?</w:t>
            </w:r>
          </w:p>
        </w:tc>
      </w:tr>
      <w:tr w:rsidR="000D2800" w14:paraId="6298F68E" w14:textId="77777777" w:rsidTr="1C891BF6">
        <w:trPr>
          <w:trHeight w:val="142"/>
        </w:trPr>
        <w:tc>
          <w:tcPr>
            <w:tcW w:w="1115" w:type="dxa"/>
            <w:shd w:val="clear" w:color="auto" w:fill="D9E2F3" w:themeFill="accent5" w:themeFillTint="33"/>
          </w:tcPr>
          <w:p w14:paraId="5C4D74D3" w14:textId="77777777" w:rsidR="000D2800" w:rsidRDefault="000D2800" w:rsidP="00B561E2">
            <w:pPr>
              <w:jc w:val="center"/>
              <w:rPr>
                <w:b/>
                <w:sz w:val="20"/>
                <w:szCs w:val="20"/>
              </w:rPr>
            </w:pPr>
          </w:p>
        </w:tc>
        <w:tc>
          <w:tcPr>
            <w:tcW w:w="9809" w:type="dxa"/>
            <w:gridSpan w:val="6"/>
            <w:shd w:val="clear" w:color="auto" w:fill="D9E2F3" w:themeFill="accent5" w:themeFillTint="33"/>
          </w:tcPr>
          <w:p w14:paraId="5F44846B" w14:textId="472E750E" w:rsidR="000D2800" w:rsidRPr="00D7033F" w:rsidRDefault="000D2800" w:rsidP="00B561E2">
            <w:pPr>
              <w:jc w:val="center"/>
              <w:rPr>
                <w:b/>
                <w:sz w:val="20"/>
                <w:szCs w:val="20"/>
              </w:rPr>
            </w:pPr>
            <w:r>
              <w:rPr>
                <w:b/>
                <w:sz w:val="20"/>
                <w:szCs w:val="20"/>
              </w:rPr>
              <w:t>&lt;What are you measuring? (e.g. % students meeting expectations for reading)&gt;</w:t>
            </w:r>
          </w:p>
        </w:tc>
      </w:tr>
      <w:tr w:rsidR="000D2800" w14:paraId="38C208A8" w14:textId="77777777" w:rsidTr="1C891BF6">
        <w:trPr>
          <w:trHeight w:val="450"/>
        </w:trPr>
        <w:tc>
          <w:tcPr>
            <w:tcW w:w="3155" w:type="dxa"/>
            <w:gridSpan w:val="3"/>
            <w:shd w:val="clear" w:color="auto" w:fill="E2EFD9" w:themeFill="accent6" w:themeFillTint="33"/>
          </w:tcPr>
          <w:p w14:paraId="21377ED4" w14:textId="77777777" w:rsidR="000D2800" w:rsidRDefault="000D2800" w:rsidP="00711180">
            <w:pPr>
              <w:rPr>
                <w:sz w:val="20"/>
                <w:szCs w:val="20"/>
              </w:rPr>
            </w:pPr>
          </w:p>
        </w:tc>
        <w:tc>
          <w:tcPr>
            <w:tcW w:w="1914" w:type="dxa"/>
            <w:shd w:val="clear" w:color="auto" w:fill="E2EFD9" w:themeFill="accent6" w:themeFillTint="33"/>
          </w:tcPr>
          <w:p w14:paraId="249AC355" w14:textId="24571815" w:rsidR="000D2800" w:rsidRPr="00B156CD" w:rsidRDefault="004D4CE8" w:rsidP="00711180">
            <w:pPr>
              <w:rPr>
                <w:b/>
                <w:sz w:val="20"/>
                <w:szCs w:val="20"/>
              </w:rPr>
            </w:pPr>
            <w:r>
              <w:rPr>
                <w:b/>
                <w:sz w:val="20"/>
                <w:szCs w:val="20"/>
              </w:rPr>
              <w:t>Spring 2024</w:t>
            </w:r>
          </w:p>
        </w:tc>
        <w:tc>
          <w:tcPr>
            <w:tcW w:w="1914" w:type="dxa"/>
            <w:shd w:val="clear" w:color="auto" w:fill="E2EFD9" w:themeFill="accent6" w:themeFillTint="33"/>
          </w:tcPr>
          <w:p w14:paraId="3A0176BC" w14:textId="5821679F" w:rsidR="000D2800" w:rsidRPr="00B156CD" w:rsidRDefault="000D2800" w:rsidP="00711180">
            <w:pPr>
              <w:rPr>
                <w:b/>
                <w:sz w:val="20"/>
                <w:szCs w:val="20"/>
              </w:rPr>
            </w:pPr>
            <w:r>
              <w:rPr>
                <w:b/>
                <w:sz w:val="20"/>
                <w:szCs w:val="20"/>
              </w:rPr>
              <w:t>Spring 20</w:t>
            </w:r>
            <w:r w:rsidR="004D4CE8">
              <w:rPr>
                <w:b/>
                <w:sz w:val="20"/>
                <w:szCs w:val="20"/>
              </w:rPr>
              <w:t>25</w:t>
            </w:r>
          </w:p>
        </w:tc>
        <w:tc>
          <w:tcPr>
            <w:tcW w:w="1210" w:type="dxa"/>
            <w:shd w:val="clear" w:color="auto" w:fill="E2EFD9" w:themeFill="accent6" w:themeFillTint="33"/>
          </w:tcPr>
          <w:p w14:paraId="475A81A5" w14:textId="3F3719AA" w:rsidR="000D2800" w:rsidRPr="00B156CD" w:rsidRDefault="004D4CE8" w:rsidP="00711180">
            <w:pPr>
              <w:rPr>
                <w:b/>
                <w:sz w:val="20"/>
                <w:szCs w:val="20"/>
              </w:rPr>
            </w:pPr>
            <w:r>
              <w:rPr>
                <w:b/>
                <w:sz w:val="20"/>
                <w:szCs w:val="20"/>
              </w:rPr>
              <w:t>Spring 2026</w:t>
            </w:r>
          </w:p>
        </w:tc>
        <w:tc>
          <w:tcPr>
            <w:tcW w:w="2731" w:type="dxa"/>
            <w:shd w:val="clear" w:color="auto" w:fill="E2EFD9" w:themeFill="accent6" w:themeFillTint="33"/>
          </w:tcPr>
          <w:p w14:paraId="6534E1A9" w14:textId="22879B38" w:rsidR="000D2800" w:rsidRPr="00B156CD" w:rsidRDefault="000D2800" w:rsidP="00711180">
            <w:pPr>
              <w:rPr>
                <w:b/>
                <w:sz w:val="20"/>
                <w:szCs w:val="20"/>
              </w:rPr>
            </w:pPr>
            <w:r w:rsidRPr="00B156CD">
              <w:rPr>
                <w:b/>
                <w:sz w:val="20"/>
                <w:szCs w:val="20"/>
              </w:rPr>
              <w:t>TARGET</w:t>
            </w:r>
          </w:p>
        </w:tc>
      </w:tr>
      <w:tr w:rsidR="000D2800" w14:paraId="13D2263B" w14:textId="77777777" w:rsidTr="1C891BF6">
        <w:trPr>
          <w:trHeight w:val="450"/>
        </w:trPr>
        <w:tc>
          <w:tcPr>
            <w:tcW w:w="3155" w:type="dxa"/>
            <w:gridSpan w:val="3"/>
            <w:shd w:val="clear" w:color="auto" w:fill="E2EFD9" w:themeFill="accent6" w:themeFillTint="33"/>
          </w:tcPr>
          <w:p w14:paraId="6273B197" w14:textId="42C28F95" w:rsidR="000D2800" w:rsidRPr="00B156CD" w:rsidRDefault="004D4CE8" w:rsidP="00711180">
            <w:pPr>
              <w:rPr>
                <w:b/>
                <w:sz w:val="20"/>
                <w:szCs w:val="20"/>
              </w:rPr>
            </w:pPr>
            <w:r>
              <w:rPr>
                <w:b/>
                <w:sz w:val="20"/>
                <w:szCs w:val="20"/>
              </w:rPr>
              <w:t>Students naming 2 trusted adults</w:t>
            </w:r>
          </w:p>
        </w:tc>
        <w:tc>
          <w:tcPr>
            <w:tcW w:w="1914" w:type="dxa"/>
            <w:shd w:val="clear" w:color="auto" w:fill="E2EFD9" w:themeFill="accent6" w:themeFillTint="33"/>
          </w:tcPr>
          <w:p w14:paraId="04783D80" w14:textId="1BA1098E" w:rsidR="000D2800" w:rsidRDefault="004D4CE8" w:rsidP="00711180">
            <w:pPr>
              <w:rPr>
                <w:sz w:val="20"/>
                <w:szCs w:val="20"/>
              </w:rPr>
            </w:pPr>
            <w:r>
              <w:rPr>
                <w:sz w:val="20"/>
                <w:szCs w:val="20"/>
              </w:rPr>
              <w:t>94%</w:t>
            </w:r>
          </w:p>
        </w:tc>
        <w:tc>
          <w:tcPr>
            <w:tcW w:w="1914" w:type="dxa"/>
            <w:shd w:val="clear" w:color="auto" w:fill="E2EFD9" w:themeFill="accent6" w:themeFillTint="33"/>
          </w:tcPr>
          <w:p w14:paraId="792866D0" w14:textId="5EFED84C" w:rsidR="000D2800" w:rsidRDefault="004D4CE8" w:rsidP="00711180">
            <w:pPr>
              <w:rPr>
                <w:sz w:val="20"/>
                <w:szCs w:val="20"/>
              </w:rPr>
            </w:pPr>
            <w:r>
              <w:rPr>
                <w:sz w:val="20"/>
                <w:szCs w:val="20"/>
              </w:rPr>
              <w:t>95%+</w:t>
            </w:r>
          </w:p>
        </w:tc>
        <w:tc>
          <w:tcPr>
            <w:tcW w:w="1210" w:type="dxa"/>
            <w:shd w:val="clear" w:color="auto" w:fill="E2EFD9" w:themeFill="accent6" w:themeFillTint="33"/>
          </w:tcPr>
          <w:p w14:paraId="20DE669E" w14:textId="5E0B7552" w:rsidR="000D2800" w:rsidRDefault="000D2800" w:rsidP="00711180">
            <w:pPr>
              <w:rPr>
                <w:sz w:val="20"/>
                <w:szCs w:val="20"/>
              </w:rPr>
            </w:pPr>
          </w:p>
        </w:tc>
        <w:tc>
          <w:tcPr>
            <w:tcW w:w="2731" w:type="dxa"/>
            <w:shd w:val="clear" w:color="auto" w:fill="E2EFD9" w:themeFill="accent6" w:themeFillTint="33"/>
          </w:tcPr>
          <w:p w14:paraId="1DFD271C" w14:textId="1CCD9D96" w:rsidR="000D2800" w:rsidRDefault="004D4CE8" w:rsidP="00711180">
            <w:pPr>
              <w:rPr>
                <w:sz w:val="20"/>
                <w:szCs w:val="20"/>
              </w:rPr>
            </w:pPr>
            <w:r>
              <w:rPr>
                <w:sz w:val="20"/>
                <w:szCs w:val="20"/>
              </w:rPr>
              <w:t>100%</w:t>
            </w:r>
          </w:p>
        </w:tc>
      </w:tr>
      <w:tr w:rsidR="000D2800" w14:paraId="74A8C02C" w14:textId="77777777" w:rsidTr="1C891BF6">
        <w:trPr>
          <w:trHeight w:val="450"/>
        </w:trPr>
        <w:tc>
          <w:tcPr>
            <w:tcW w:w="3155" w:type="dxa"/>
            <w:gridSpan w:val="3"/>
            <w:shd w:val="clear" w:color="auto" w:fill="E2EFD9" w:themeFill="accent6" w:themeFillTint="33"/>
          </w:tcPr>
          <w:p w14:paraId="54AED7D5" w14:textId="2EC3EED9" w:rsidR="000D2800" w:rsidRPr="004D4CE8" w:rsidRDefault="004D4CE8" w:rsidP="004D4CE8">
            <w:pPr>
              <w:rPr>
                <w:b/>
                <w:sz w:val="20"/>
                <w:szCs w:val="20"/>
              </w:rPr>
            </w:pPr>
            <w:r>
              <w:rPr>
                <w:b/>
                <w:sz w:val="20"/>
                <w:szCs w:val="20"/>
              </w:rPr>
              <w:lastRenderedPageBreak/>
              <w:t>Students who feel safe with peers</w:t>
            </w:r>
          </w:p>
        </w:tc>
        <w:tc>
          <w:tcPr>
            <w:tcW w:w="1914" w:type="dxa"/>
            <w:shd w:val="clear" w:color="auto" w:fill="E2EFD9" w:themeFill="accent6" w:themeFillTint="33"/>
          </w:tcPr>
          <w:p w14:paraId="1AAF94FC" w14:textId="0646D28A" w:rsidR="000D2800" w:rsidRDefault="004D4CE8" w:rsidP="00711180">
            <w:pPr>
              <w:rPr>
                <w:sz w:val="20"/>
                <w:szCs w:val="20"/>
              </w:rPr>
            </w:pPr>
            <w:r>
              <w:rPr>
                <w:sz w:val="20"/>
                <w:szCs w:val="20"/>
              </w:rPr>
              <w:t>72%</w:t>
            </w:r>
          </w:p>
        </w:tc>
        <w:tc>
          <w:tcPr>
            <w:tcW w:w="1914" w:type="dxa"/>
            <w:shd w:val="clear" w:color="auto" w:fill="E2EFD9" w:themeFill="accent6" w:themeFillTint="33"/>
          </w:tcPr>
          <w:p w14:paraId="7AE9DE50" w14:textId="02B07411" w:rsidR="000D2800" w:rsidRDefault="004D4CE8" w:rsidP="00711180">
            <w:pPr>
              <w:rPr>
                <w:sz w:val="20"/>
                <w:szCs w:val="20"/>
              </w:rPr>
            </w:pPr>
            <w:r>
              <w:rPr>
                <w:sz w:val="20"/>
                <w:szCs w:val="20"/>
              </w:rPr>
              <w:t>63%</w:t>
            </w:r>
          </w:p>
        </w:tc>
        <w:tc>
          <w:tcPr>
            <w:tcW w:w="1210" w:type="dxa"/>
            <w:shd w:val="clear" w:color="auto" w:fill="E2EFD9" w:themeFill="accent6" w:themeFillTint="33"/>
          </w:tcPr>
          <w:p w14:paraId="78B0CC1C" w14:textId="206F9866" w:rsidR="000D2800" w:rsidRDefault="000D2800" w:rsidP="00711180">
            <w:pPr>
              <w:rPr>
                <w:sz w:val="20"/>
                <w:szCs w:val="20"/>
              </w:rPr>
            </w:pPr>
          </w:p>
        </w:tc>
        <w:tc>
          <w:tcPr>
            <w:tcW w:w="2731" w:type="dxa"/>
            <w:shd w:val="clear" w:color="auto" w:fill="E2EFD9" w:themeFill="accent6" w:themeFillTint="33"/>
          </w:tcPr>
          <w:p w14:paraId="79029F5E" w14:textId="55C69D47" w:rsidR="000D2800" w:rsidRDefault="004D4CE8" w:rsidP="00711180">
            <w:pPr>
              <w:rPr>
                <w:sz w:val="20"/>
                <w:szCs w:val="20"/>
              </w:rPr>
            </w:pPr>
            <w:r>
              <w:rPr>
                <w:sz w:val="20"/>
                <w:szCs w:val="20"/>
              </w:rPr>
              <w:t>85%</w:t>
            </w:r>
          </w:p>
        </w:tc>
      </w:tr>
      <w:tr w:rsidR="000D2800" w14:paraId="6C99D2AC" w14:textId="77777777" w:rsidTr="1C891BF6">
        <w:trPr>
          <w:trHeight w:val="450"/>
        </w:trPr>
        <w:tc>
          <w:tcPr>
            <w:tcW w:w="3155" w:type="dxa"/>
            <w:gridSpan w:val="3"/>
            <w:shd w:val="clear" w:color="auto" w:fill="E2EFD9" w:themeFill="accent6" w:themeFillTint="33"/>
          </w:tcPr>
          <w:p w14:paraId="255E97FB" w14:textId="46DECC73" w:rsidR="000D2800" w:rsidRPr="004D4CE8" w:rsidRDefault="004D4CE8" w:rsidP="004D4CE8">
            <w:pPr>
              <w:rPr>
                <w:b/>
                <w:sz w:val="20"/>
                <w:szCs w:val="20"/>
              </w:rPr>
            </w:pPr>
            <w:r>
              <w:rPr>
                <w:b/>
                <w:sz w:val="20"/>
                <w:szCs w:val="20"/>
              </w:rPr>
              <w:t>Students identifying learning goals</w:t>
            </w:r>
          </w:p>
        </w:tc>
        <w:tc>
          <w:tcPr>
            <w:tcW w:w="1914" w:type="dxa"/>
            <w:shd w:val="clear" w:color="auto" w:fill="E2EFD9" w:themeFill="accent6" w:themeFillTint="33"/>
          </w:tcPr>
          <w:p w14:paraId="38F950E6" w14:textId="115CDE3E" w:rsidR="000D2800" w:rsidRDefault="004D4CE8" w:rsidP="00711180">
            <w:pPr>
              <w:rPr>
                <w:sz w:val="20"/>
                <w:szCs w:val="20"/>
              </w:rPr>
            </w:pPr>
            <w:r>
              <w:rPr>
                <w:sz w:val="20"/>
                <w:szCs w:val="20"/>
              </w:rPr>
              <w:t>57%</w:t>
            </w:r>
          </w:p>
        </w:tc>
        <w:tc>
          <w:tcPr>
            <w:tcW w:w="1914" w:type="dxa"/>
            <w:shd w:val="clear" w:color="auto" w:fill="E2EFD9" w:themeFill="accent6" w:themeFillTint="33"/>
          </w:tcPr>
          <w:p w14:paraId="4FA163CA" w14:textId="3BF407EF" w:rsidR="000D2800" w:rsidRDefault="004D4CE8" w:rsidP="00711180">
            <w:pPr>
              <w:rPr>
                <w:sz w:val="20"/>
                <w:szCs w:val="20"/>
              </w:rPr>
            </w:pPr>
            <w:r>
              <w:rPr>
                <w:sz w:val="20"/>
                <w:szCs w:val="20"/>
              </w:rPr>
              <w:t>84%</w:t>
            </w:r>
          </w:p>
        </w:tc>
        <w:tc>
          <w:tcPr>
            <w:tcW w:w="1210" w:type="dxa"/>
            <w:shd w:val="clear" w:color="auto" w:fill="E2EFD9" w:themeFill="accent6" w:themeFillTint="33"/>
          </w:tcPr>
          <w:p w14:paraId="7C9CBA53" w14:textId="77777777" w:rsidR="000D2800" w:rsidRDefault="000D2800" w:rsidP="00711180">
            <w:pPr>
              <w:rPr>
                <w:sz w:val="20"/>
                <w:szCs w:val="20"/>
              </w:rPr>
            </w:pPr>
          </w:p>
        </w:tc>
        <w:tc>
          <w:tcPr>
            <w:tcW w:w="2731" w:type="dxa"/>
            <w:shd w:val="clear" w:color="auto" w:fill="E2EFD9" w:themeFill="accent6" w:themeFillTint="33"/>
          </w:tcPr>
          <w:p w14:paraId="7D7E2D39" w14:textId="319357D1" w:rsidR="000D2800" w:rsidRDefault="000D2800" w:rsidP="00711180">
            <w:pPr>
              <w:rPr>
                <w:sz w:val="20"/>
                <w:szCs w:val="20"/>
              </w:rPr>
            </w:pPr>
            <w:r>
              <w:rPr>
                <w:sz w:val="20"/>
                <w:szCs w:val="20"/>
              </w:rPr>
              <w:t>100%</w:t>
            </w:r>
          </w:p>
        </w:tc>
      </w:tr>
      <w:tr w:rsidR="000D2800" w14:paraId="2C86D5AC" w14:textId="77777777" w:rsidTr="1C891BF6">
        <w:trPr>
          <w:trHeight w:val="450"/>
        </w:trPr>
        <w:tc>
          <w:tcPr>
            <w:tcW w:w="3155" w:type="dxa"/>
            <w:gridSpan w:val="3"/>
            <w:shd w:val="clear" w:color="auto" w:fill="E2EFD9" w:themeFill="accent6" w:themeFillTint="33"/>
          </w:tcPr>
          <w:p w14:paraId="670A243A" w14:textId="2DA75F2B" w:rsidR="000D2800" w:rsidRPr="004D4CE8" w:rsidRDefault="004D4CE8" w:rsidP="004D4CE8">
            <w:pPr>
              <w:rPr>
                <w:b/>
                <w:sz w:val="20"/>
                <w:szCs w:val="20"/>
              </w:rPr>
            </w:pPr>
            <w:r>
              <w:rPr>
                <w:b/>
                <w:sz w:val="20"/>
                <w:szCs w:val="20"/>
              </w:rPr>
              <w:t xml:space="preserve">Students </w:t>
            </w:r>
            <w:r w:rsidR="00FC6F1E">
              <w:rPr>
                <w:b/>
                <w:sz w:val="20"/>
                <w:szCs w:val="20"/>
              </w:rPr>
              <w:t xml:space="preserve">identifying </w:t>
            </w:r>
            <w:r>
              <w:rPr>
                <w:b/>
                <w:sz w:val="20"/>
                <w:szCs w:val="20"/>
              </w:rPr>
              <w:t>receiving helpful feedback (identifying always/ very often))</w:t>
            </w:r>
          </w:p>
        </w:tc>
        <w:tc>
          <w:tcPr>
            <w:tcW w:w="1914" w:type="dxa"/>
            <w:shd w:val="clear" w:color="auto" w:fill="E2EFD9" w:themeFill="accent6" w:themeFillTint="33"/>
          </w:tcPr>
          <w:p w14:paraId="0B1CB5EB" w14:textId="057F56BC" w:rsidR="000D2800" w:rsidRDefault="004D4CE8" w:rsidP="00711180">
            <w:pPr>
              <w:rPr>
                <w:sz w:val="20"/>
                <w:szCs w:val="20"/>
              </w:rPr>
            </w:pPr>
            <w:r>
              <w:rPr>
                <w:sz w:val="20"/>
                <w:szCs w:val="20"/>
              </w:rPr>
              <w:t>10%</w:t>
            </w:r>
          </w:p>
        </w:tc>
        <w:tc>
          <w:tcPr>
            <w:tcW w:w="1914" w:type="dxa"/>
            <w:shd w:val="clear" w:color="auto" w:fill="E2EFD9" w:themeFill="accent6" w:themeFillTint="33"/>
          </w:tcPr>
          <w:p w14:paraId="677BA613" w14:textId="6742CB1E" w:rsidR="000D2800" w:rsidRDefault="004D4CE8" w:rsidP="00711180">
            <w:pPr>
              <w:rPr>
                <w:sz w:val="20"/>
                <w:szCs w:val="20"/>
              </w:rPr>
            </w:pPr>
            <w:r>
              <w:rPr>
                <w:sz w:val="20"/>
                <w:szCs w:val="20"/>
              </w:rPr>
              <w:t>41%</w:t>
            </w:r>
          </w:p>
        </w:tc>
        <w:tc>
          <w:tcPr>
            <w:tcW w:w="1210" w:type="dxa"/>
            <w:shd w:val="clear" w:color="auto" w:fill="E2EFD9" w:themeFill="accent6" w:themeFillTint="33"/>
          </w:tcPr>
          <w:p w14:paraId="0A3EA6EB" w14:textId="77777777" w:rsidR="000D2800" w:rsidRDefault="000D2800" w:rsidP="00711180">
            <w:pPr>
              <w:rPr>
                <w:sz w:val="20"/>
                <w:szCs w:val="20"/>
              </w:rPr>
            </w:pPr>
          </w:p>
        </w:tc>
        <w:tc>
          <w:tcPr>
            <w:tcW w:w="2731" w:type="dxa"/>
            <w:shd w:val="clear" w:color="auto" w:fill="E2EFD9" w:themeFill="accent6" w:themeFillTint="33"/>
          </w:tcPr>
          <w:p w14:paraId="0D9F1F77" w14:textId="23A4F458" w:rsidR="000D2800" w:rsidRDefault="000D2800" w:rsidP="00711180">
            <w:pPr>
              <w:rPr>
                <w:sz w:val="20"/>
                <w:szCs w:val="20"/>
              </w:rPr>
            </w:pPr>
            <w:r>
              <w:rPr>
                <w:sz w:val="20"/>
                <w:szCs w:val="20"/>
              </w:rPr>
              <w:t>100%</w:t>
            </w:r>
          </w:p>
        </w:tc>
      </w:tr>
      <w:tr w:rsidR="00B3221A" w14:paraId="7AC6C233" w14:textId="77777777" w:rsidTr="1C891BF6">
        <w:trPr>
          <w:trHeight w:val="450"/>
        </w:trPr>
        <w:tc>
          <w:tcPr>
            <w:tcW w:w="3155" w:type="dxa"/>
            <w:gridSpan w:val="3"/>
            <w:shd w:val="clear" w:color="auto" w:fill="E2EFD9" w:themeFill="accent6" w:themeFillTint="33"/>
          </w:tcPr>
          <w:p w14:paraId="0BFBCEF1" w14:textId="2196CB9D" w:rsidR="00B3221A" w:rsidRDefault="00B3221A" w:rsidP="004D4CE8">
            <w:pPr>
              <w:rPr>
                <w:b/>
                <w:sz w:val="20"/>
                <w:szCs w:val="20"/>
              </w:rPr>
            </w:pPr>
            <w:r w:rsidRPr="00B3221A">
              <w:rPr>
                <w:b/>
                <w:bCs/>
                <w:sz w:val="20"/>
                <w:szCs w:val="20"/>
              </w:rPr>
              <w:t>FSA Numeracy – Grade 4 (meeting or exceeding)</w:t>
            </w:r>
          </w:p>
        </w:tc>
        <w:tc>
          <w:tcPr>
            <w:tcW w:w="1914" w:type="dxa"/>
            <w:shd w:val="clear" w:color="auto" w:fill="E2EFD9" w:themeFill="accent6" w:themeFillTint="33"/>
          </w:tcPr>
          <w:p w14:paraId="563EB496" w14:textId="704FF65C" w:rsidR="00B3221A" w:rsidRDefault="5DDBD59A" w:rsidP="00711180">
            <w:pPr>
              <w:rPr>
                <w:sz w:val="20"/>
                <w:szCs w:val="20"/>
              </w:rPr>
            </w:pPr>
            <w:r w:rsidRPr="5BB0B511">
              <w:rPr>
                <w:sz w:val="20"/>
                <w:szCs w:val="20"/>
              </w:rPr>
              <w:t>Masked</w:t>
            </w:r>
          </w:p>
        </w:tc>
        <w:tc>
          <w:tcPr>
            <w:tcW w:w="1914" w:type="dxa"/>
            <w:shd w:val="clear" w:color="auto" w:fill="E2EFD9" w:themeFill="accent6" w:themeFillTint="33"/>
          </w:tcPr>
          <w:p w14:paraId="3EA2D1CF" w14:textId="0AD99C21" w:rsidR="00B3221A" w:rsidRDefault="5DDBD59A" w:rsidP="00711180">
            <w:pPr>
              <w:rPr>
                <w:sz w:val="20"/>
                <w:szCs w:val="20"/>
              </w:rPr>
            </w:pPr>
            <w:r w:rsidRPr="5BB0B511">
              <w:rPr>
                <w:sz w:val="20"/>
                <w:szCs w:val="20"/>
              </w:rPr>
              <w:t>Masked</w:t>
            </w:r>
          </w:p>
        </w:tc>
        <w:tc>
          <w:tcPr>
            <w:tcW w:w="1210" w:type="dxa"/>
            <w:shd w:val="clear" w:color="auto" w:fill="E2EFD9" w:themeFill="accent6" w:themeFillTint="33"/>
          </w:tcPr>
          <w:p w14:paraId="0757BA95" w14:textId="77777777" w:rsidR="00B3221A" w:rsidRDefault="00B3221A" w:rsidP="00711180">
            <w:pPr>
              <w:rPr>
                <w:sz w:val="20"/>
                <w:szCs w:val="20"/>
              </w:rPr>
            </w:pPr>
          </w:p>
        </w:tc>
        <w:tc>
          <w:tcPr>
            <w:tcW w:w="2731" w:type="dxa"/>
            <w:shd w:val="clear" w:color="auto" w:fill="E2EFD9" w:themeFill="accent6" w:themeFillTint="33"/>
          </w:tcPr>
          <w:p w14:paraId="4B9DAB70" w14:textId="629DAE73" w:rsidR="00B3221A" w:rsidRDefault="003606B4" w:rsidP="00711180">
            <w:pPr>
              <w:rPr>
                <w:sz w:val="20"/>
                <w:szCs w:val="20"/>
              </w:rPr>
            </w:pPr>
            <w:r>
              <w:rPr>
                <w:sz w:val="20"/>
                <w:szCs w:val="20"/>
              </w:rPr>
              <w:t>70%</w:t>
            </w:r>
          </w:p>
        </w:tc>
      </w:tr>
      <w:tr w:rsidR="00B3221A" w14:paraId="4F120959" w14:textId="77777777" w:rsidTr="1C891BF6">
        <w:trPr>
          <w:trHeight w:val="450"/>
        </w:trPr>
        <w:tc>
          <w:tcPr>
            <w:tcW w:w="3155" w:type="dxa"/>
            <w:gridSpan w:val="3"/>
            <w:shd w:val="clear" w:color="auto" w:fill="E2EFD9" w:themeFill="accent6" w:themeFillTint="33"/>
          </w:tcPr>
          <w:p w14:paraId="1FFB1710" w14:textId="35B02586" w:rsidR="00B3221A" w:rsidRDefault="00B3221A" w:rsidP="004D4CE8">
            <w:pPr>
              <w:rPr>
                <w:b/>
                <w:sz w:val="20"/>
                <w:szCs w:val="20"/>
              </w:rPr>
            </w:pPr>
            <w:r w:rsidRPr="00B3221A">
              <w:rPr>
                <w:b/>
                <w:bCs/>
                <w:sz w:val="20"/>
                <w:szCs w:val="20"/>
              </w:rPr>
              <w:t>FSA Numeracy – Grade 7 (meeting or exceeding)</w:t>
            </w:r>
          </w:p>
        </w:tc>
        <w:tc>
          <w:tcPr>
            <w:tcW w:w="1914" w:type="dxa"/>
            <w:shd w:val="clear" w:color="auto" w:fill="E2EFD9" w:themeFill="accent6" w:themeFillTint="33"/>
          </w:tcPr>
          <w:p w14:paraId="069E8A86" w14:textId="6F60CFAC" w:rsidR="00B3221A" w:rsidRDefault="5FC2E2A3" w:rsidP="3D58863B">
            <w:pPr>
              <w:rPr>
                <w:sz w:val="20"/>
                <w:szCs w:val="20"/>
              </w:rPr>
            </w:pPr>
            <w:r w:rsidRPr="3D58863B">
              <w:rPr>
                <w:sz w:val="20"/>
                <w:szCs w:val="20"/>
              </w:rPr>
              <w:t>Masked</w:t>
            </w:r>
          </w:p>
          <w:p w14:paraId="7EB07795" w14:textId="50B5360F" w:rsidR="00B3221A" w:rsidRDefault="00B3221A" w:rsidP="00711180">
            <w:pPr>
              <w:rPr>
                <w:sz w:val="20"/>
                <w:szCs w:val="20"/>
              </w:rPr>
            </w:pPr>
          </w:p>
        </w:tc>
        <w:tc>
          <w:tcPr>
            <w:tcW w:w="1914" w:type="dxa"/>
            <w:shd w:val="clear" w:color="auto" w:fill="E2EFD9" w:themeFill="accent6" w:themeFillTint="33"/>
          </w:tcPr>
          <w:p w14:paraId="4278E4FB" w14:textId="505428DB" w:rsidR="00B3221A" w:rsidRDefault="5FC2E2A3" w:rsidP="3D58863B">
            <w:pPr>
              <w:rPr>
                <w:sz w:val="20"/>
                <w:szCs w:val="20"/>
              </w:rPr>
            </w:pPr>
            <w:r w:rsidRPr="3D58863B">
              <w:rPr>
                <w:sz w:val="20"/>
                <w:szCs w:val="20"/>
              </w:rPr>
              <w:t>Masked</w:t>
            </w:r>
          </w:p>
          <w:p w14:paraId="52E886DD" w14:textId="7C5790FE" w:rsidR="00B3221A" w:rsidRDefault="00B3221A" w:rsidP="00711180">
            <w:pPr>
              <w:rPr>
                <w:sz w:val="20"/>
                <w:szCs w:val="20"/>
              </w:rPr>
            </w:pPr>
          </w:p>
        </w:tc>
        <w:tc>
          <w:tcPr>
            <w:tcW w:w="1210" w:type="dxa"/>
            <w:shd w:val="clear" w:color="auto" w:fill="E2EFD9" w:themeFill="accent6" w:themeFillTint="33"/>
          </w:tcPr>
          <w:p w14:paraId="3D8AB02A" w14:textId="77777777" w:rsidR="00B3221A" w:rsidRDefault="00B3221A" w:rsidP="00711180">
            <w:pPr>
              <w:rPr>
                <w:sz w:val="20"/>
                <w:szCs w:val="20"/>
              </w:rPr>
            </w:pPr>
          </w:p>
        </w:tc>
        <w:tc>
          <w:tcPr>
            <w:tcW w:w="2731" w:type="dxa"/>
            <w:shd w:val="clear" w:color="auto" w:fill="E2EFD9" w:themeFill="accent6" w:themeFillTint="33"/>
          </w:tcPr>
          <w:p w14:paraId="0C9519F8" w14:textId="64994194" w:rsidR="00B3221A" w:rsidRDefault="003606B4" w:rsidP="00711180">
            <w:pPr>
              <w:rPr>
                <w:sz w:val="20"/>
                <w:szCs w:val="20"/>
              </w:rPr>
            </w:pPr>
            <w:r>
              <w:rPr>
                <w:sz w:val="20"/>
                <w:szCs w:val="20"/>
              </w:rPr>
              <w:t>65%</w:t>
            </w:r>
          </w:p>
        </w:tc>
      </w:tr>
      <w:tr w:rsidR="00B3221A" w14:paraId="7847DB71" w14:textId="77777777" w:rsidTr="1C891BF6">
        <w:trPr>
          <w:trHeight w:val="450"/>
        </w:trPr>
        <w:tc>
          <w:tcPr>
            <w:tcW w:w="3155" w:type="dxa"/>
            <w:gridSpan w:val="3"/>
            <w:shd w:val="clear" w:color="auto" w:fill="E2EFD9" w:themeFill="accent6" w:themeFillTint="33"/>
          </w:tcPr>
          <w:p w14:paraId="50531A00" w14:textId="70E005A6" w:rsidR="00B3221A" w:rsidRDefault="003606B4" w:rsidP="004D4CE8">
            <w:pPr>
              <w:rPr>
                <w:b/>
                <w:sz w:val="20"/>
                <w:szCs w:val="20"/>
              </w:rPr>
            </w:pPr>
            <w:r w:rsidRPr="003606B4">
              <w:rPr>
                <w:b/>
                <w:bCs/>
                <w:sz w:val="20"/>
                <w:szCs w:val="20"/>
              </w:rPr>
              <w:t>Provincial Graduation Numeracy Assessment – Grade 10 (Proficient or Extending)</w:t>
            </w:r>
          </w:p>
        </w:tc>
        <w:tc>
          <w:tcPr>
            <w:tcW w:w="1914" w:type="dxa"/>
            <w:shd w:val="clear" w:color="auto" w:fill="E2EFD9" w:themeFill="accent6" w:themeFillTint="33"/>
          </w:tcPr>
          <w:p w14:paraId="35E13E72" w14:textId="4B946E10" w:rsidR="00B3221A" w:rsidRDefault="73569E28" w:rsidP="3D58863B">
            <w:pPr>
              <w:rPr>
                <w:sz w:val="20"/>
                <w:szCs w:val="20"/>
              </w:rPr>
            </w:pPr>
            <w:r w:rsidRPr="3D58863B">
              <w:rPr>
                <w:sz w:val="20"/>
                <w:szCs w:val="20"/>
              </w:rPr>
              <w:t>Masked</w:t>
            </w:r>
          </w:p>
          <w:p w14:paraId="1F19580E" w14:textId="6510C9E0" w:rsidR="00B3221A" w:rsidRDefault="00B3221A" w:rsidP="00711180">
            <w:pPr>
              <w:rPr>
                <w:sz w:val="20"/>
                <w:szCs w:val="20"/>
              </w:rPr>
            </w:pPr>
          </w:p>
        </w:tc>
        <w:tc>
          <w:tcPr>
            <w:tcW w:w="1914" w:type="dxa"/>
            <w:shd w:val="clear" w:color="auto" w:fill="E2EFD9" w:themeFill="accent6" w:themeFillTint="33"/>
          </w:tcPr>
          <w:p w14:paraId="1713E4FE" w14:textId="32D1EAAB" w:rsidR="00B3221A" w:rsidRDefault="73569E28" w:rsidP="3D58863B">
            <w:pPr>
              <w:rPr>
                <w:sz w:val="20"/>
                <w:szCs w:val="20"/>
              </w:rPr>
            </w:pPr>
            <w:r w:rsidRPr="3D58863B">
              <w:rPr>
                <w:sz w:val="20"/>
                <w:szCs w:val="20"/>
              </w:rPr>
              <w:t>Masked</w:t>
            </w:r>
          </w:p>
          <w:p w14:paraId="2A53D3B3" w14:textId="362CE75C" w:rsidR="00B3221A" w:rsidRDefault="00B3221A" w:rsidP="00711180">
            <w:pPr>
              <w:rPr>
                <w:sz w:val="20"/>
                <w:szCs w:val="20"/>
              </w:rPr>
            </w:pPr>
          </w:p>
        </w:tc>
        <w:tc>
          <w:tcPr>
            <w:tcW w:w="1210" w:type="dxa"/>
            <w:shd w:val="clear" w:color="auto" w:fill="E2EFD9" w:themeFill="accent6" w:themeFillTint="33"/>
          </w:tcPr>
          <w:p w14:paraId="6CED3FDC" w14:textId="77777777" w:rsidR="00B3221A" w:rsidRDefault="00B3221A" w:rsidP="00711180">
            <w:pPr>
              <w:rPr>
                <w:sz w:val="20"/>
                <w:szCs w:val="20"/>
              </w:rPr>
            </w:pPr>
          </w:p>
        </w:tc>
        <w:tc>
          <w:tcPr>
            <w:tcW w:w="2731" w:type="dxa"/>
            <w:shd w:val="clear" w:color="auto" w:fill="E2EFD9" w:themeFill="accent6" w:themeFillTint="33"/>
          </w:tcPr>
          <w:p w14:paraId="64B7BFD9" w14:textId="2C84FABB" w:rsidR="00B3221A" w:rsidRDefault="003606B4" w:rsidP="00711180">
            <w:pPr>
              <w:rPr>
                <w:sz w:val="20"/>
                <w:szCs w:val="20"/>
              </w:rPr>
            </w:pPr>
            <w:r>
              <w:rPr>
                <w:sz w:val="20"/>
                <w:szCs w:val="20"/>
              </w:rPr>
              <w:t>60%</w:t>
            </w:r>
          </w:p>
        </w:tc>
      </w:tr>
      <w:tr w:rsidR="00FC6F1E" w14:paraId="63057FE3" w14:textId="77777777" w:rsidTr="1C891BF6">
        <w:trPr>
          <w:cantSplit/>
          <w:trHeight w:val="148"/>
        </w:trPr>
        <w:tc>
          <w:tcPr>
            <w:tcW w:w="10924" w:type="dxa"/>
            <w:gridSpan w:val="7"/>
            <w:shd w:val="clear" w:color="auto" w:fill="E2EFD9" w:themeFill="accent6" w:themeFillTint="33"/>
          </w:tcPr>
          <w:p w14:paraId="0AAE7D31" w14:textId="6AA1442F" w:rsidR="00FC6F1E" w:rsidRPr="00B156CD" w:rsidRDefault="00FC6F1E" w:rsidP="00711180">
            <w:pPr>
              <w:rPr>
                <w:b/>
                <w:sz w:val="20"/>
                <w:szCs w:val="20"/>
              </w:rPr>
            </w:pPr>
            <w:r w:rsidRPr="0095096B">
              <w:rPr>
                <w:b/>
                <w:bCs/>
                <w:sz w:val="20"/>
                <w:szCs w:val="20"/>
              </w:rPr>
              <w:t>ATTENDENCE</w:t>
            </w:r>
          </w:p>
        </w:tc>
      </w:tr>
      <w:tr w:rsidR="000D2800" w14:paraId="005DCACE" w14:textId="77777777" w:rsidTr="1C891BF6">
        <w:trPr>
          <w:cantSplit/>
          <w:trHeight w:val="148"/>
        </w:trPr>
        <w:tc>
          <w:tcPr>
            <w:tcW w:w="3155" w:type="dxa"/>
            <w:gridSpan w:val="3"/>
            <w:shd w:val="clear" w:color="auto" w:fill="E2EFD9" w:themeFill="accent6" w:themeFillTint="33"/>
          </w:tcPr>
          <w:p w14:paraId="500F0B45" w14:textId="43945A3A" w:rsidR="000D2800" w:rsidRDefault="000D2800" w:rsidP="00711180">
            <w:pPr>
              <w:rPr>
                <w:sz w:val="20"/>
                <w:szCs w:val="20"/>
              </w:rPr>
            </w:pPr>
            <w:r>
              <w:rPr>
                <w:sz w:val="20"/>
                <w:szCs w:val="20"/>
              </w:rPr>
              <w:t>% of Students Absent more than 20% of scheduled school days.</w:t>
            </w:r>
          </w:p>
        </w:tc>
        <w:tc>
          <w:tcPr>
            <w:tcW w:w="1914" w:type="dxa"/>
            <w:shd w:val="clear" w:color="auto" w:fill="E2EFD9" w:themeFill="accent6" w:themeFillTint="33"/>
          </w:tcPr>
          <w:p w14:paraId="6C30476E" w14:textId="5226C22F" w:rsidR="000D2800" w:rsidRDefault="004D4CE8" w:rsidP="00711180">
            <w:pPr>
              <w:rPr>
                <w:b/>
                <w:sz w:val="20"/>
                <w:szCs w:val="20"/>
              </w:rPr>
            </w:pPr>
            <w:r>
              <w:rPr>
                <w:b/>
                <w:sz w:val="20"/>
                <w:szCs w:val="20"/>
              </w:rPr>
              <w:t>21%</w:t>
            </w:r>
          </w:p>
        </w:tc>
        <w:tc>
          <w:tcPr>
            <w:tcW w:w="1914" w:type="dxa"/>
            <w:shd w:val="clear" w:color="auto" w:fill="E2EFD9" w:themeFill="accent6" w:themeFillTint="33"/>
          </w:tcPr>
          <w:p w14:paraId="13314059" w14:textId="48CB8355" w:rsidR="000D2800" w:rsidRDefault="004D4CE8" w:rsidP="00711180">
            <w:pPr>
              <w:rPr>
                <w:b/>
                <w:sz w:val="20"/>
                <w:szCs w:val="20"/>
              </w:rPr>
            </w:pPr>
            <w:r>
              <w:rPr>
                <w:b/>
                <w:sz w:val="20"/>
                <w:szCs w:val="20"/>
              </w:rPr>
              <w:t>39%</w:t>
            </w:r>
          </w:p>
        </w:tc>
        <w:tc>
          <w:tcPr>
            <w:tcW w:w="1210" w:type="dxa"/>
            <w:shd w:val="clear" w:color="auto" w:fill="E2EFD9" w:themeFill="accent6" w:themeFillTint="33"/>
          </w:tcPr>
          <w:p w14:paraId="5D0117BF" w14:textId="77777777" w:rsidR="000D2800" w:rsidRDefault="000D2800" w:rsidP="00711180">
            <w:pPr>
              <w:rPr>
                <w:b/>
                <w:sz w:val="20"/>
                <w:szCs w:val="20"/>
              </w:rPr>
            </w:pPr>
          </w:p>
        </w:tc>
        <w:tc>
          <w:tcPr>
            <w:tcW w:w="2731" w:type="dxa"/>
            <w:shd w:val="clear" w:color="auto" w:fill="E2EFD9" w:themeFill="accent6" w:themeFillTint="33"/>
          </w:tcPr>
          <w:p w14:paraId="637E53B2" w14:textId="5A6AB7AD" w:rsidR="000D2800" w:rsidRPr="00B156CD" w:rsidRDefault="004D4CE8" w:rsidP="00711180">
            <w:pPr>
              <w:rPr>
                <w:b/>
                <w:sz w:val="20"/>
                <w:szCs w:val="20"/>
              </w:rPr>
            </w:pPr>
            <w:r>
              <w:rPr>
                <w:b/>
                <w:sz w:val="20"/>
                <w:szCs w:val="20"/>
              </w:rPr>
              <w:t>15%</w:t>
            </w:r>
          </w:p>
        </w:tc>
      </w:tr>
    </w:tbl>
    <w:p w14:paraId="39E8019D" w14:textId="77777777" w:rsidR="00BA3EC8" w:rsidRDefault="00BA3EC8"/>
    <w:sectPr w:rsidR="00BA3EC8" w:rsidSect="00DD0097">
      <w:headerReference w:type="default" r:id="rId10"/>
      <w:footerReference w:type="default" r:id="rId11"/>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B6E00" w14:textId="77777777" w:rsidR="004117D8" w:rsidRDefault="004117D8" w:rsidP="00944963">
      <w:pPr>
        <w:spacing w:after="0" w:line="240" w:lineRule="auto"/>
      </w:pPr>
      <w:r>
        <w:separator/>
      </w:r>
    </w:p>
  </w:endnote>
  <w:endnote w:type="continuationSeparator" w:id="0">
    <w:p w14:paraId="2DF4CED4" w14:textId="77777777" w:rsidR="004117D8" w:rsidRDefault="004117D8" w:rsidP="00944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Wingdings 2">
    <w:panose1 w:val="05020102010507070707"/>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46D2B" w14:textId="02685D7B" w:rsidR="00E57B6E" w:rsidRDefault="00AA7C87">
    <w:pPr>
      <w:pStyle w:val="Footer"/>
    </w:pPr>
    <w:r>
      <w:rPr>
        <w:noProof/>
      </w:rPr>
      <w:drawing>
        <wp:anchor distT="0" distB="0" distL="114300" distR="114300" simplePos="0" relativeHeight="251659264" behindDoc="0" locked="0" layoutInCell="1" allowOverlap="1" wp14:anchorId="78D6F5DF" wp14:editId="75593D6D">
          <wp:simplePos x="0" y="0"/>
          <wp:positionH relativeFrom="column">
            <wp:posOffset>2857500</wp:posOffset>
          </wp:positionH>
          <wp:positionV relativeFrom="paragraph">
            <wp:posOffset>-172085</wp:posOffset>
          </wp:positionV>
          <wp:extent cx="459533" cy="459533"/>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59533" cy="459533"/>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050BB4" w14:textId="77777777" w:rsidR="004117D8" w:rsidRDefault="004117D8" w:rsidP="00944963">
      <w:pPr>
        <w:spacing w:after="0" w:line="240" w:lineRule="auto"/>
      </w:pPr>
      <w:r>
        <w:separator/>
      </w:r>
    </w:p>
  </w:footnote>
  <w:footnote w:type="continuationSeparator" w:id="0">
    <w:p w14:paraId="1191B4FA" w14:textId="77777777" w:rsidR="004117D8" w:rsidRDefault="004117D8" w:rsidP="00944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96557" w14:textId="7C4CF2EA" w:rsidR="00975634" w:rsidRDefault="00975634">
    <w:pPr>
      <w:pStyle w:val="Header"/>
    </w:pPr>
    <w:r>
      <w:rPr>
        <w:noProof/>
      </w:rPr>
      <w:drawing>
        <wp:anchor distT="0" distB="0" distL="114300" distR="114300" simplePos="0" relativeHeight="251658240" behindDoc="0" locked="0" layoutInCell="1" allowOverlap="1" wp14:anchorId="2F1002DB" wp14:editId="4688DBB7">
          <wp:simplePos x="0" y="0"/>
          <wp:positionH relativeFrom="column">
            <wp:posOffset>2713470</wp:posOffset>
          </wp:positionH>
          <wp:positionV relativeFrom="paragraph">
            <wp:posOffset>-247015</wp:posOffset>
          </wp:positionV>
          <wp:extent cx="689547" cy="689547"/>
          <wp:effectExtent l="0" t="0" r="0" b="0"/>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89547" cy="689547"/>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92787"/>
    <w:multiLevelType w:val="hybridMultilevel"/>
    <w:tmpl w:val="194A9F3C"/>
    <w:lvl w:ilvl="0" w:tplc="71765408">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E590D27"/>
    <w:multiLevelType w:val="hybridMultilevel"/>
    <w:tmpl w:val="A0C2E0B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01947E4"/>
    <w:multiLevelType w:val="multilevel"/>
    <w:tmpl w:val="987C5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AB245D"/>
    <w:multiLevelType w:val="hybridMultilevel"/>
    <w:tmpl w:val="5790A4B6"/>
    <w:lvl w:ilvl="0" w:tplc="2D045C18">
      <w:start w:val="100"/>
      <w:numFmt w:val="bullet"/>
      <w:lvlText w:val=""/>
      <w:lvlJc w:val="left"/>
      <w:pPr>
        <w:ind w:left="720" w:hanging="360"/>
      </w:pPr>
      <w:rPr>
        <w:rFonts w:ascii="Symbol" w:eastAsiaTheme="minorHAnsi" w:hAnsi="Symbol"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3025E6F"/>
    <w:multiLevelType w:val="hybridMultilevel"/>
    <w:tmpl w:val="1FDED634"/>
    <w:lvl w:ilvl="0" w:tplc="8FC28EA4">
      <w:start w:val="1"/>
      <w:numFmt w:val="bullet"/>
      <w:lvlText w:val="q"/>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C043E7"/>
    <w:multiLevelType w:val="hybridMultilevel"/>
    <w:tmpl w:val="5BA2CEA0"/>
    <w:lvl w:ilvl="0" w:tplc="B4E67B5A">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62073B9"/>
    <w:multiLevelType w:val="multilevel"/>
    <w:tmpl w:val="4CDE41A2"/>
    <w:lvl w:ilvl="0">
      <w:start w:val="1"/>
      <w:numFmt w:val="bullet"/>
      <w:lvlText w:val="q"/>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DA57E90"/>
    <w:multiLevelType w:val="multilevel"/>
    <w:tmpl w:val="B600A03C"/>
    <w:lvl w:ilvl="0">
      <w:start w:val="1"/>
      <w:numFmt w:val="bullet"/>
      <w:lvlText w:val="q"/>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BE4164"/>
    <w:multiLevelType w:val="multilevel"/>
    <w:tmpl w:val="CB5CF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950D72"/>
    <w:multiLevelType w:val="multilevel"/>
    <w:tmpl w:val="B600A03C"/>
    <w:lvl w:ilvl="0">
      <w:start w:val="1"/>
      <w:numFmt w:val="bullet"/>
      <w:lvlText w:val="q"/>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9F4E37"/>
    <w:multiLevelType w:val="hybridMultilevel"/>
    <w:tmpl w:val="2822F32E"/>
    <w:lvl w:ilvl="0" w:tplc="BFC8DACA">
      <w:start w:val="100"/>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8AD02D4"/>
    <w:multiLevelType w:val="hybridMultilevel"/>
    <w:tmpl w:val="5A9A4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8C76D95"/>
    <w:multiLevelType w:val="hybridMultilevel"/>
    <w:tmpl w:val="579ED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670846"/>
    <w:multiLevelType w:val="multilevel"/>
    <w:tmpl w:val="46F6A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891358"/>
    <w:multiLevelType w:val="multilevel"/>
    <w:tmpl w:val="99EC74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5D6CDC"/>
    <w:multiLevelType w:val="hybridMultilevel"/>
    <w:tmpl w:val="218A21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D090992"/>
    <w:multiLevelType w:val="multilevel"/>
    <w:tmpl w:val="B7548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E280B17"/>
    <w:multiLevelType w:val="multilevel"/>
    <w:tmpl w:val="408E0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A7C0056"/>
    <w:multiLevelType w:val="hybridMultilevel"/>
    <w:tmpl w:val="B4E89746"/>
    <w:lvl w:ilvl="0" w:tplc="CDC0D26A">
      <w:start w:val="2021"/>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9" w15:restartNumberingAfterBreak="0">
    <w:nsid w:val="5AC46BB0"/>
    <w:multiLevelType w:val="multilevel"/>
    <w:tmpl w:val="37F66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D44FDE"/>
    <w:multiLevelType w:val="hybridMultilevel"/>
    <w:tmpl w:val="A15E0AA0"/>
    <w:lvl w:ilvl="0" w:tplc="B4E67B5A">
      <w:numFmt w:val="bullet"/>
      <w:lvlText w:val=""/>
      <w:lvlJc w:val="left"/>
      <w:pPr>
        <w:ind w:left="1080" w:hanging="360"/>
      </w:pPr>
      <w:rPr>
        <w:rFonts w:ascii="Symbol" w:eastAsiaTheme="minorHAnsi" w:hAnsi="Symbol" w:cstheme="minorBidi" w:hint="default"/>
      </w:rPr>
    </w:lvl>
    <w:lvl w:ilvl="1" w:tplc="76CC08EC">
      <w:start w:val="1"/>
      <w:numFmt w:val="bullet"/>
      <w:lvlText w:val="R"/>
      <w:lvlJc w:val="left"/>
      <w:pPr>
        <w:ind w:left="1800" w:hanging="360"/>
      </w:pPr>
      <w:rPr>
        <w:rFonts w:ascii="Wingdings 2" w:hAnsi="Wingdings 2"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64833B11"/>
    <w:multiLevelType w:val="hybridMultilevel"/>
    <w:tmpl w:val="991AE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6CA95D91"/>
    <w:multiLevelType w:val="multilevel"/>
    <w:tmpl w:val="B600A03C"/>
    <w:lvl w:ilvl="0">
      <w:start w:val="1"/>
      <w:numFmt w:val="bullet"/>
      <w:lvlText w:val="q"/>
      <w:lvlJc w:val="left"/>
      <w:pPr>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DEB142B"/>
    <w:multiLevelType w:val="multilevel"/>
    <w:tmpl w:val="E8884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EC77700"/>
    <w:multiLevelType w:val="multilevel"/>
    <w:tmpl w:val="17521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6097008">
    <w:abstractNumId w:val="0"/>
  </w:num>
  <w:num w:numId="2" w16cid:durableId="2043627340">
    <w:abstractNumId w:val="15"/>
  </w:num>
  <w:num w:numId="3" w16cid:durableId="1214152144">
    <w:abstractNumId w:val="21"/>
  </w:num>
  <w:num w:numId="4" w16cid:durableId="1775520241">
    <w:abstractNumId w:val="11"/>
  </w:num>
  <w:num w:numId="5" w16cid:durableId="2015842317">
    <w:abstractNumId w:val="3"/>
  </w:num>
  <w:num w:numId="6" w16cid:durableId="1471746582">
    <w:abstractNumId w:val="10"/>
  </w:num>
  <w:num w:numId="7" w16cid:durableId="1372724795">
    <w:abstractNumId w:val="5"/>
  </w:num>
  <w:num w:numId="8" w16cid:durableId="687759020">
    <w:abstractNumId w:val="1"/>
  </w:num>
  <w:num w:numId="9" w16cid:durableId="1111977849">
    <w:abstractNumId w:val="20"/>
  </w:num>
  <w:num w:numId="10" w16cid:durableId="2014912144">
    <w:abstractNumId w:val="12"/>
  </w:num>
  <w:num w:numId="11" w16cid:durableId="88740643">
    <w:abstractNumId w:val="18"/>
  </w:num>
  <w:num w:numId="12" w16cid:durableId="707224023">
    <w:abstractNumId w:val="16"/>
  </w:num>
  <w:num w:numId="13" w16cid:durableId="1451511466">
    <w:abstractNumId w:val="14"/>
  </w:num>
  <w:num w:numId="14" w16cid:durableId="1874726709">
    <w:abstractNumId w:val="2"/>
  </w:num>
  <w:num w:numId="15" w16cid:durableId="517157808">
    <w:abstractNumId w:val="19"/>
  </w:num>
  <w:num w:numId="16" w16cid:durableId="1178154615">
    <w:abstractNumId w:val="23"/>
  </w:num>
  <w:num w:numId="17" w16cid:durableId="1369841455">
    <w:abstractNumId w:val="4"/>
  </w:num>
  <w:num w:numId="18" w16cid:durableId="779649000">
    <w:abstractNumId w:val="17"/>
  </w:num>
  <w:num w:numId="19" w16cid:durableId="1131899291">
    <w:abstractNumId w:val="6"/>
  </w:num>
  <w:num w:numId="20" w16cid:durableId="1042554139">
    <w:abstractNumId w:val="22"/>
  </w:num>
  <w:num w:numId="21" w16cid:durableId="715547845">
    <w:abstractNumId w:val="7"/>
  </w:num>
  <w:num w:numId="22" w16cid:durableId="262618106">
    <w:abstractNumId w:val="9"/>
  </w:num>
  <w:num w:numId="23" w16cid:durableId="921376034">
    <w:abstractNumId w:val="8"/>
  </w:num>
  <w:num w:numId="24" w16cid:durableId="1908756761">
    <w:abstractNumId w:val="13"/>
  </w:num>
  <w:num w:numId="25" w16cid:durableId="19223475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8A2"/>
    <w:rsid w:val="00015A32"/>
    <w:rsid w:val="00053F3A"/>
    <w:rsid w:val="000C42FE"/>
    <w:rsid w:val="000D2800"/>
    <w:rsid w:val="000E1B0E"/>
    <w:rsid w:val="000E7CE6"/>
    <w:rsid w:val="001468A2"/>
    <w:rsid w:val="001807E3"/>
    <w:rsid w:val="00203842"/>
    <w:rsid w:val="00224B63"/>
    <w:rsid w:val="002473E4"/>
    <w:rsid w:val="003361EE"/>
    <w:rsid w:val="003606B4"/>
    <w:rsid w:val="003766C9"/>
    <w:rsid w:val="003D2165"/>
    <w:rsid w:val="003D36E8"/>
    <w:rsid w:val="004117D8"/>
    <w:rsid w:val="0044637E"/>
    <w:rsid w:val="00462A48"/>
    <w:rsid w:val="00494AE6"/>
    <w:rsid w:val="004D4CE8"/>
    <w:rsid w:val="00515CB0"/>
    <w:rsid w:val="005519BA"/>
    <w:rsid w:val="00555874"/>
    <w:rsid w:val="0067348D"/>
    <w:rsid w:val="00707BD2"/>
    <w:rsid w:val="00711180"/>
    <w:rsid w:val="00785556"/>
    <w:rsid w:val="0079549D"/>
    <w:rsid w:val="007C22AC"/>
    <w:rsid w:val="007C76AD"/>
    <w:rsid w:val="007F2A32"/>
    <w:rsid w:val="00842F49"/>
    <w:rsid w:val="0089783B"/>
    <w:rsid w:val="0091303B"/>
    <w:rsid w:val="00920747"/>
    <w:rsid w:val="009322D8"/>
    <w:rsid w:val="00944963"/>
    <w:rsid w:val="0095096B"/>
    <w:rsid w:val="00973ACA"/>
    <w:rsid w:val="00975634"/>
    <w:rsid w:val="009972D3"/>
    <w:rsid w:val="009D7EF3"/>
    <w:rsid w:val="009F5620"/>
    <w:rsid w:val="00A03D18"/>
    <w:rsid w:val="00A51709"/>
    <w:rsid w:val="00A75E3A"/>
    <w:rsid w:val="00AA7C87"/>
    <w:rsid w:val="00B00CA3"/>
    <w:rsid w:val="00B156CD"/>
    <w:rsid w:val="00B3221A"/>
    <w:rsid w:val="00B561E2"/>
    <w:rsid w:val="00B77B3E"/>
    <w:rsid w:val="00B868DF"/>
    <w:rsid w:val="00BA0606"/>
    <w:rsid w:val="00BA3EC8"/>
    <w:rsid w:val="00BC717A"/>
    <w:rsid w:val="00C50653"/>
    <w:rsid w:val="00C7712B"/>
    <w:rsid w:val="00C828E7"/>
    <w:rsid w:val="00CA0034"/>
    <w:rsid w:val="00CA2826"/>
    <w:rsid w:val="00CD7F0B"/>
    <w:rsid w:val="00D33419"/>
    <w:rsid w:val="00D7033F"/>
    <w:rsid w:val="00D71D20"/>
    <w:rsid w:val="00DD0097"/>
    <w:rsid w:val="00E505E8"/>
    <w:rsid w:val="00E57B6E"/>
    <w:rsid w:val="00EE2D0A"/>
    <w:rsid w:val="00F23B4B"/>
    <w:rsid w:val="00F65D88"/>
    <w:rsid w:val="00F671FA"/>
    <w:rsid w:val="00F83F17"/>
    <w:rsid w:val="00FC6F1E"/>
    <w:rsid w:val="1C891BF6"/>
    <w:rsid w:val="3D58863B"/>
    <w:rsid w:val="3E7E10A7"/>
    <w:rsid w:val="5BB0B511"/>
    <w:rsid w:val="5DDBD59A"/>
    <w:rsid w:val="5FC2E2A3"/>
    <w:rsid w:val="73569E2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14DA54"/>
  <w15:chartTrackingRefBased/>
  <w15:docId w15:val="{E5C5B3FA-FE5B-4B09-9F5A-DD59FBE19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8A2"/>
    <w:rPr>
      <w:lang w:val="en-CA"/>
    </w:rPr>
  </w:style>
  <w:style w:type="paragraph" w:styleId="Heading1">
    <w:name w:val="heading 1"/>
    <w:basedOn w:val="Normal"/>
    <w:next w:val="Normal"/>
    <w:link w:val="Heading1Char"/>
    <w:uiPriority w:val="9"/>
    <w:qFormat/>
    <w:rsid w:val="00944963"/>
    <w:pPr>
      <w:keepNext/>
      <w:keepLines/>
      <w:spacing w:before="240" w:after="0"/>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
    <w:unhideWhenUsed/>
    <w:qFormat/>
    <w:rsid w:val="00944963"/>
    <w:pPr>
      <w:keepNext/>
      <w:keepLines/>
      <w:spacing w:before="40" w:after="0"/>
      <w:outlineLvl w:val="1"/>
    </w:pPr>
    <w:rPr>
      <w:rFonts w:asciiTheme="majorHAnsi" w:eastAsiaTheme="majorEastAsia" w:hAnsiTheme="majorHAnsi" w:cstheme="majorBidi"/>
      <w:color w:val="2E74B5" w:themeColor="accent1" w:themeShade="BF"/>
      <w:sz w:val="26"/>
      <w:szCs w:val="26"/>
      <w:lang w:val="en-US"/>
    </w:rPr>
  </w:style>
  <w:style w:type="paragraph" w:styleId="Heading4">
    <w:name w:val="heading 4"/>
    <w:basedOn w:val="Normal"/>
    <w:next w:val="Normal"/>
    <w:link w:val="Heading4Char"/>
    <w:uiPriority w:val="9"/>
    <w:unhideWhenUsed/>
    <w:qFormat/>
    <w:rsid w:val="00B868DF"/>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68A2"/>
    <w:pPr>
      <w:spacing w:after="0" w:line="240" w:lineRule="auto"/>
    </w:pPr>
    <w:rPr>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468A2"/>
    <w:pPr>
      <w:ind w:left="720"/>
      <w:contextualSpacing/>
    </w:pPr>
  </w:style>
  <w:style w:type="paragraph" w:styleId="NoSpacing">
    <w:name w:val="No Spacing"/>
    <w:link w:val="NoSpacingChar"/>
    <w:uiPriority w:val="1"/>
    <w:qFormat/>
    <w:rsid w:val="00944963"/>
    <w:pPr>
      <w:spacing w:after="0" w:line="240" w:lineRule="auto"/>
    </w:pPr>
    <w:rPr>
      <w:rFonts w:eastAsiaTheme="minorEastAsia"/>
    </w:rPr>
  </w:style>
  <w:style w:type="character" w:customStyle="1" w:styleId="NoSpacingChar">
    <w:name w:val="No Spacing Char"/>
    <w:basedOn w:val="DefaultParagraphFont"/>
    <w:link w:val="NoSpacing"/>
    <w:uiPriority w:val="1"/>
    <w:rsid w:val="00944963"/>
    <w:rPr>
      <w:rFonts w:eastAsiaTheme="minorEastAsia"/>
    </w:rPr>
  </w:style>
  <w:style w:type="character" w:customStyle="1" w:styleId="Heading1Char">
    <w:name w:val="Heading 1 Char"/>
    <w:basedOn w:val="DefaultParagraphFont"/>
    <w:link w:val="Heading1"/>
    <w:uiPriority w:val="9"/>
    <w:rsid w:val="00944963"/>
    <w:rPr>
      <w:rFonts w:asciiTheme="majorHAnsi" w:eastAsiaTheme="majorEastAsia" w:hAnsiTheme="majorHAnsi" w:cstheme="majorBidi"/>
      <w:color w:val="2E74B5" w:themeColor="accent1" w:themeShade="BF"/>
      <w:sz w:val="32"/>
      <w:szCs w:val="32"/>
    </w:rPr>
  </w:style>
  <w:style w:type="paragraph" w:styleId="IntenseQuote">
    <w:name w:val="Intense Quote"/>
    <w:basedOn w:val="Normal"/>
    <w:next w:val="Normal"/>
    <w:link w:val="IntenseQuoteChar"/>
    <w:uiPriority w:val="30"/>
    <w:qFormat/>
    <w:rsid w:val="00944963"/>
    <w:pPr>
      <w:pBdr>
        <w:top w:val="single" w:sz="4" w:space="10" w:color="5B9BD5" w:themeColor="accent1"/>
        <w:bottom w:val="single" w:sz="4" w:space="10" w:color="5B9BD5" w:themeColor="accent1"/>
      </w:pBdr>
      <w:spacing w:before="360" w:after="360"/>
      <w:ind w:left="864" w:right="864"/>
      <w:jc w:val="center"/>
    </w:pPr>
    <w:rPr>
      <w:i/>
      <w:iCs/>
      <w:color w:val="5B9BD5" w:themeColor="accent1"/>
      <w:lang w:val="en-US"/>
    </w:rPr>
  </w:style>
  <w:style w:type="character" w:customStyle="1" w:styleId="IntenseQuoteChar">
    <w:name w:val="Intense Quote Char"/>
    <w:basedOn w:val="DefaultParagraphFont"/>
    <w:link w:val="IntenseQuote"/>
    <w:uiPriority w:val="30"/>
    <w:rsid w:val="00944963"/>
    <w:rPr>
      <w:i/>
      <w:iCs/>
      <w:color w:val="5B9BD5" w:themeColor="accent1"/>
    </w:rPr>
  </w:style>
  <w:style w:type="character" w:customStyle="1" w:styleId="Heading2Char">
    <w:name w:val="Heading 2 Char"/>
    <w:basedOn w:val="DefaultParagraphFont"/>
    <w:link w:val="Heading2"/>
    <w:uiPriority w:val="9"/>
    <w:rsid w:val="00944963"/>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944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4963"/>
    <w:rPr>
      <w:lang w:val="en-CA"/>
    </w:rPr>
  </w:style>
  <w:style w:type="paragraph" w:styleId="Footer">
    <w:name w:val="footer"/>
    <w:basedOn w:val="Normal"/>
    <w:link w:val="FooterChar"/>
    <w:uiPriority w:val="99"/>
    <w:unhideWhenUsed/>
    <w:rsid w:val="00944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4963"/>
    <w:rPr>
      <w:lang w:val="en-CA"/>
    </w:rPr>
  </w:style>
  <w:style w:type="paragraph" w:styleId="Title">
    <w:name w:val="Title"/>
    <w:basedOn w:val="Normal"/>
    <w:next w:val="Normal"/>
    <w:link w:val="TitleChar"/>
    <w:uiPriority w:val="10"/>
    <w:qFormat/>
    <w:rsid w:val="0094496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4963"/>
    <w:rPr>
      <w:rFonts w:asciiTheme="majorHAnsi" w:eastAsiaTheme="majorEastAsia" w:hAnsiTheme="majorHAnsi" w:cstheme="majorBidi"/>
      <w:spacing w:val="-10"/>
      <w:kern w:val="28"/>
      <w:sz w:val="56"/>
      <w:szCs w:val="56"/>
      <w:lang w:val="en-CA"/>
    </w:rPr>
  </w:style>
  <w:style w:type="character" w:styleId="IntenseEmphasis">
    <w:name w:val="Intense Emphasis"/>
    <w:basedOn w:val="DefaultParagraphFont"/>
    <w:uiPriority w:val="21"/>
    <w:qFormat/>
    <w:rsid w:val="00DD0097"/>
    <w:rPr>
      <w:i/>
      <w:iCs/>
      <w:color w:val="5B9BD5" w:themeColor="accent1"/>
    </w:rPr>
  </w:style>
  <w:style w:type="paragraph" w:styleId="Quote">
    <w:name w:val="Quote"/>
    <w:basedOn w:val="Normal"/>
    <w:next w:val="Normal"/>
    <w:link w:val="QuoteChar"/>
    <w:uiPriority w:val="29"/>
    <w:qFormat/>
    <w:rsid w:val="00DD0097"/>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D0097"/>
    <w:rPr>
      <w:i/>
      <w:iCs/>
      <w:color w:val="404040" w:themeColor="text1" w:themeTint="BF"/>
      <w:lang w:val="en-CA"/>
    </w:rPr>
  </w:style>
  <w:style w:type="paragraph" w:customStyle="1" w:styleId="p1">
    <w:name w:val="p1"/>
    <w:basedOn w:val="Normal"/>
    <w:rsid w:val="00B868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2">
    <w:name w:val="p2"/>
    <w:basedOn w:val="Normal"/>
    <w:rsid w:val="00B868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DefaultParagraphFont"/>
    <w:rsid w:val="00B868DF"/>
  </w:style>
  <w:style w:type="paragraph" w:customStyle="1" w:styleId="p3">
    <w:name w:val="p3"/>
    <w:basedOn w:val="Normal"/>
    <w:rsid w:val="00B868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2">
    <w:name w:val="s2"/>
    <w:basedOn w:val="DefaultParagraphFont"/>
    <w:rsid w:val="00B868DF"/>
  </w:style>
  <w:style w:type="character" w:customStyle="1" w:styleId="Heading4Char">
    <w:name w:val="Heading 4 Char"/>
    <w:basedOn w:val="DefaultParagraphFont"/>
    <w:link w:val="Heading4"/>
    <w:uiPriority w:val="9"/>
    <w:rsid w:val="00B868DF"/>
    <w:rPr>
      <w:rFonts w:asciiTheme="majorHAnsi" w:eastAsiaTheme="majorEastAsia" w:hAnsiTheme="majorHAnsi" w:cstheme="majorBidi"/>
      <w:i/>
      <w:iCs/>
      <w:color w:val="2E74B5" w:themeColor="accent1" w:themeShade="BF"/>
      <w:lang w:val="en-CA"/>
    </w:rPr>
  </w:style>
  <w:style w:type="paragraph" w:customStyle="1" w:styleId="p4">
    <w:name w:val="p4"/>
    <w:basedOn w:val="Normal"/>
    <w:rsid w:val="00E505E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44300">
      <w:bodyDiv w:val="1"/>
      <w:marLeft w:val="0"/>
      <w:marRight w:val="0"/>
      <w:marTop w:val="0"/>
      <w:marBottom w:val="0"/>
      <w:divBdr>
        <w:top w:val="none" w:sz="0" w:space="0" w:color="auto"/>
        <w:left w:val="none" w:sz="0" w:space="0" w:color="auto"/>
        <w:bottom w:val="none" w:sz="0" w:space="0" w:color="auto"/>
        <w:right w:val="none" w:sz="0" w:space="0" w:color="auto"/>
      </w:divBdr>
    </w:div>
    <w:div w:id="110976904">
      <w:bodyDiv w:val="1"/>
      <w:marLeft w:val="0"/>
      <w:marRight w:val="0"/>
      <w:marTop w:val="0"/>
      <w:marBottom w:val="0"/>
      <w:divBdr>
        <w:top w:val="none" w:sz="0" w:space="0" w:color="auto"/>
        <w:left w:val="none" w:sz="0" w:space="0" w:color="auto"/>
        <w:bottom w:val="none" w:sz="0" w:space="0" w:color="auto"/>
        <w:right w:val="none" w:sz="0" w:space="0" w:color="auto"/>
      </w:divBdr>
    </w:div>
    <w:div w:id="163251860">
      <w:bodyDiv w:val="1"/>
      <w:marLeft w:val="0"/>
      <w:marRight w:val="0"/>
      <w:marTop w:val="0"/>
      <w:marBottom w:val="0"/>
      <w:divBdr>
        <w:top w:val="none" w:sz="0" w:space="0" w:color="auto"/>
        <w:left w:val="none" w:sz="0" w:space="0" w:color="auto"/>
        <w:bottom w:val="none" w:sz="0" w:space="0" w:color="auto"/>
        <w:right w:val="none" w:sz="0" w:space="0" w:color="auto"/>
      </w:divBdr>
    </w:div>
    <w:div w:id="377507938">
      <w:bodyDiv w:val="1"/>
      <w:marLeft w:val="0"/>
      <w:marRight w:val="0"/>
      <w:marTop w:val="0"/>
      <w:marBottom w:val="0"/>
      <w:divBdr>
        <w:top w:val="none" w:sz="0" w:space="0" w:color="auto"/>
        <w:left w:val="none" w:sz="0" w:space="0" w:color="auto"/>
        <w:bottom w:val="none" w:sz="0" w:space="0" w:color="auto"/>
        <w:right w:val="none" w:sz="0" w:space="0" w:color="auto"/>
      </w:divBdr>
    </w:div>
    <w:div w:id="411437701">
      <w:bodyDiv w:val="1"/>
      <w:marLeft w:val="0"/>
      <w:marRight w:val="0"/>
      <w:marTop w:val="0"/>
      <w:marBottom w:val="0"/>
      <w:divBdr>
        <w:top w:val="none" w:sz="0" w:space="0" w:color="auto"/>
        <w:left w:val="none" w:sz="0" w:space="0" w:color="auto"/>
        <w:bottom w:val="none" w:sz="0" w:space="0" w:color="auto"/>
        <w:right w:val="none" w:sz="0" w:space="0" w:color="auto"/>
      </w:divBdr>
    </w:div>
    <w:div w:id="630408191">
      <w:bodyDiv w:val="1"/>
      <w:marLeft w:val="0"/>
      <w:marRight w:val="0"/>
      <w:marTop w:val="0"/>
      <w:marBottom w:val="0"/>
      <w:divBdr>
        <w:top w:val="none" w:sz="0" w:space="0" w:color="auto"/>
        <w:left w:val="none" w:sz="0" w:space="0" w:color="auto"/>
        <w:bottom w:val="none" w:sz="0" w:space="0" w:color="auto"/>
        <w:right w:val="none" w:sz="0" w:space="0" w:color="auto"/>
      </w:divBdr>
    </w:div>
    <w:div w:id="690763437">
      <w:bodyDiv w:val="1"/>
      <w:marLeft w:val="0"/>
      <w:marRight w:val="0"/>
      <w:marTop w:val="0"/>
      <w:marBottom w:val="0"/>
      <w:divBdr>
        <w:top w:val="none" w:sz="0" w:space="0" w:color="auto"/>
        <w:left w:val="none" w:sz="0" w:space="0" w:color="auto"/>
        <w:bottom w:val="none" w:sz="0" w:space="0" w:color="auto"/>
        <w:right w:val="none" w:sz="0" w:space="0" w:color="auto"/>
      </w:divBdr>
    </w:div>
    <w:div w:id="736973643">
      <w:bodyDiv w:val="1"/>
      <w:marLeft w:val="0"/>
      <w:marRight w:val="0"/>
      <w:marTop w:val="0"/>
      <w:marBottom w:val="0"/>
      <w:divBdr>
        <w:top w:val="none" w:sz="0" w:space="0" w:color="auto"/>
        <w:left w:val="none" w:sz="0" w:space="0" w:color="auto"/>
        <w:bottom w:val="none" w:sz="0" w:space="0" w:color="auto"/>
        <w:right w:val="none" w:sz="0" w:space="0" w:color="auto"/>
      </w:divBdr>
    </w:div>
    <w:div w:id="826894934">
      <w:bodyDiv w:val="1"/>
      <w:marLeft w:val="0"/>
      <w:marRight w:val="0"/>
      <w:marTop w:val="0"/>
      <w:marBottom w:val="0"/>
      <w:divBdr>
        <w:top w:val="none" w:sz="0" w:space="0" w:color="auto"/>
        <w:left w:val="none" w:sz="0" w:space="0" w:color="auto"/>
        <w:bottom w:val="none" w:sz="0" w:space="0" w:color="auto"/>
        <w:right w:val="none" w:sz="0" w:space="0" w:color="auto"/>
      </w:divBdr>
    </w:div>
    <w:div w:id="832918606">
      <w:bodyDiv w:val="1"/>
      <w:marLeft w:val="0"/>
      <w:marRight w:val="0"/>
      <w:marTop w:val="0"/>
      <w:marBottom w:val="0"/>
      <w:divBdr>
        <w:top w:val="none" w:sz="0" w:space="0" w:color="auto"/>
        <w:left w:val="none" w:sz="0" w:space="0" w:color="auto"/>
        <w:bottom w:val="none" w:sz="0" w:space="0" w:color="auto"/>
        <w:right w:val="none" w:sz="0" w:space="0" w:color="auto"/>
      </w:divBdr>
    </w:div>
    <w:div w:id="844513454">
      <w:bodyDiv w:val="1"/>
      <w:marLeft w:val="0"/>
      <w:marRight w:val="0"/>
      <w:marTop w:val="0"/>
      <w:marBottom w:val="0"/>
      <w:divBdr>
        <w:top w:val="none" w:sz="0" w:space="0" w:color="auto"/>
        <w:left w:val="none" w:sz="0" w:space="0" w:color="auto"/>
        <w:bottom w:val="none" w:sz="0" w:space="0" w:color="auto"/>
        <w:right w:val="none" w:sz="0" w:space="0" w:color="auto"/>
      </w:divBdr>
    </w:div>
    <w:div w:id="968129514">
      <w:bodyDiv w:val="1"/>
      <w:marLeft w:val="0"/>
      <w:marRight w:val="0"/>
      <w:marTop w:val="0"/>
      <w:marBottom w:val="0"/>
      <w:divBdr>
        <w:top w:val="none" w:sz="0" w:space="0" w:color="auto"/>
        <w:left w:val="none" w:sz="0" w:space="0" w:color="auto"/>
        <w:bottom w:val="none" w:sz="0" w:space="0" w:color="auto"/>
        <w:right w:val="none" w:sz="0" w:space="0" w:color="auto"/>
      </w:divBdr>
    </w:div>
    <w:div w:id="1259757913">
      <w:bodyDiv w:val="1"/>
      <w:marLeft w:val="0"/>
      <w:marRight w:val="0"/>
      <w:marTop w:val="0"/>
      <w:marBottom w:val="0"/>
      <w:divBdr>
        <w:top w:val="none" w:sz="0" w:space="0" w:color="auto"/>
        <w:left w:val="none" w:sz="0" w:space="0" w:color="auto"/>
        <w:bottom w:val="none" w:sz="0" w:space="0" w:color="auto"/>
        <w:right w:val="none" w:sz="0" w:space="0" w:color="auto"/>
      </w:divBdr>
    </w:div>
    <w:div w:id="1313099902">
      <w:bodyDiv w:val="1"/>
      <w:marLeft w:val="0"/>
      <w:marRight w:val="0"/>
      <w:marTop w:val="0"/>
      <w:marBottom w:val="0"/>
      <w:divBdr>
        <w:top w:val="none" w:sz="0" w:space="0" w:color="auto"/>
        <w:left w:val="none" w:sz="0" w:space="0" w:color="auto"/>
        <w:bottom w:val="none" w:sz="0" w:space="0" w:color="auto"/>
        <w:right w:val="none" w:sz="0" w:space="0" w:color="auto"/>
      </w:divBdr>
    </w:div>
    <w:div w:id="1399327364">
      <w:bodyDiv w:val="1"/>
      <w:marLeft w:val="0"/>
      <w:marRight w:val="0"/>
      <w:marTop w:val="0"/>
      <w:marBottom w:val="0"/>
      <w:divBdr>
        <w:top w:val="none" w:sz="0" w:space="0" w:color="auto"/>
        <w:left w:val="none" w:sz="0" w:space="0" w:color="auto"/>
        <w:bottom w:val="none" w:sz="0" w:space="0" w:color="auto"/>
        <w:right w:val="none" w:sz="0" w:space="0" w:color="auto"/>
      </w:divBdr>
    </w:div>
    <w:div w:id="1412460855">
      <w:bodyDiv w:val="1"/>
      <w:marLeft w:val="0"/>
      <w:marRight w:val="0"/>
      <w:marTop w:val="0"/>
      <w:marBottom w:val="0"/>
      <w:divBdr>
        <w:top w:val="none" w:sz="0" w:space="0" w:color="auto"/>
        <w:left w:val="none" w:sz="0" w:space="0" w:color="auto"/>
        <w:bottom w:val="none" w:sz="0" w:space="0" w:color="auto"/>
        <w:right w:val="none" w:sz="0" w:space="0" w:color="auto"/>
      </w:divBdr>
    </w:div>
    <w:div w:id="1502352197">
      <w:bodyDiv w:val="1"/>
      <w:marLeft w:val="0"/>
      <w:marRight w:val="0"/>
      <w:marTop w:val="0"/>
      <w:marBottom w:val="0"/>
      <w:divBdr>
        <w:top w:val="none" w:sz="0" w:space="0" w:color="auto"/>
        <w:left w:val="none" w:sz="0" w:space="0" w:color="auto"/>
        <w:bottom w:val="none" w:sz="0" w:space="0" w:color="auto"/>
        <w:right w:val="none" w:sz="0" w:space="0" w:color="auto"/>
      </w:divBdr>
    </w:div>
    <w:div w:id="1580481862">
      <w:bodyDiv w:val="1"/>
      <w:marLeft w:val="0"/>
      <w:marRight w:val="0"/>
      <w:marTop w:val="0"/>
      <w:marBottom w:val="0"/>
      <w:divBdr>
        <w:top w:val="none" w:sz="0" w:space="0" w:color="auto"/>
        <w:left w:val="none" w:sz="0" w:space="0" w:color="auto"/>
        <w:bottom w:val="none" w:sz="0" w:space="0" w:color="auto"/>
        <w:right w:val="none" w:sz="0" w:space="0" w:color="auto"/>
      </w:divBdr>
    </w:div>
    <w:div w:id="1618680860">
      <w:bodyDiv w:val="1"/>
      <w:marLeft w:val="0"/>
      <w:marRight w:val="0"/>
      <w:marTop w:val="0"/>
      <w:marBottom w:val="0"/>
      <w:divBdr>
        <w:top w:val="none" w:sz="0" w:space="0" w:color="auto"/>
        <w:left w:val="none" w:sz="0" w:space="0" w:color="auto"/>
        <w:bottom w:val="none" w:sz="0" w:space="0" w:color="auto"/>
        <w:right w:val="none" w:sz="0" w:space="0" w:color="auto"/>
      </w:divBdr>
    </w:div>
    <w:div w:id="1747339117">
      <w:bodyDiv w:val="1"/>
      <w:marLeft w:val="0"/>
      <w:marRight w:val="0"/>
      <w:marTop w:val="0"/>
      <w:marBottom w:val="0"/>
      <w:divBdr>
        <w:top w:val="none" w:sz="0" w:space="0" w:color="auto"/>
        <w:left w:val="none" w:sz="0" w:space="0" w:color="auto"/>
        <w:bottom w:val="none" w:sz="0" w:space="0" w:color="auto"/>
        <w:right w:val="none" w:sz="0" w:space="0" w:color="auto"/>
      </w:divBdr>
    </w:div>
    <w:div w:id="1935287075">
      <w:bodyDiv w:val="1"/>
      <w:marLeft w:val="0"/>
      <w:marRight w:val="0"/>
      <w:marTop w:val="0"/>
      <w:marBottom w:val="0"/>
      <w:divBdr>
        <w:top w:val="none" w:sz="0" w:space="0" w:color="auto"/>
        <w:left w:val="none" w:sz="0" w:space="0" w:color="auto"/>
        <w:bottom w:val="none" w:sz="0" w:space="0" w:color="auto"/>
        <w:right w:val="none" w:sz="0" w:space="0" w:color="auto"/>
      </w:divBdr>
    </w:div>
    <w:div w:id="2010985220">
      <w:bodyDiv w:val="1"/>
      <w:marLeft w:val="0"/>
      <w:marRight w:val="0"/>
      <w:marTop w:val="0"/>
      <w:marBottom w:val="0"/>
      <w:divBdr>
        <w:top w:val="none" w:sz="0" w:space="0" w:color="auto"/>
        <w:left w:val="none" w:sz="0" w:space="0" w:color="auto"/>
        <w:bottom w:val="none" w:sz="0" w:space="0" w:color="auto"/>
        <w:right w:val="none" w:sz="0" w:space="0" w:color="auto"/>
      </w:divBdr>
    </w:div>
    <w:div w:id="2042508192">
      <w:bodyDiv w:val="1"/>
      <w:marLeft w:val="0"/>
      <w:marRight w:val="0"/>
      <w:marTop w:val="0"/>
      <w:marBottom w:val="0"/>
      <w:divBdr>
        <w:top w:val="none" w:sz="0" w:space="0" w:color="auto"/>
        <w:left w:val="none" w:sz="0" w:space="0" w:color="auto"/>
        <w:bottom w:val="none" w:sz="0" w:space="0" w:color="auto"/>
        <w:right w:val="none" w:sz="0" w:space="0" w:color="auto"/>
      </w:divBdr>
    </w:div>
    <w:div w:id="2046127882">
      <w:bodyDiv w:val="1"/>
      <w:marLeft w:val="0"/>
      <w:marRight w:val="0"/>
      <w:marTop w:val="0"/>
      <w:marBottom w:val="0"/>
      <w:divBdr>
        <w:top w:val="none" w:sz="0" w:space="0" w:color="auto"/>
        <w:left w:val="none" w:sz="0" w:space="0" w:color="auto"/>
        <w:bottom w:val="none" w:sz="0" w:space="0" w:color="auto"/>
        <w:right w:val="none" w:sz="0" w:space="0" w:color="auto"/>
      </w:divBdr>
    </w:div>
    <w:div w:id="2093119630">
      <w:bodyDiv w:val="1"/>
      <w:marLeft w:val="0"/>
      <w:marRight w:val="0"/>
      <w:marTop w:val="0"/>
      <w:marBottom w:val="0"/>
      <w:divBdr>
        <w:top w:val="none" w:sz="0" w:space="0" w:color="auto"/>
        <w:left w:val="none" w:sz="0" w:space="0" w:color="auto"/>
        <w:bottom w:val="none" w:sz="0" w:space="0" w:color="auto"/>
        <w:right w:val="none" w:sz="0" w:space="0" w:color="auto"/>
      </w:divBdr>
    </w:div>
    <w:div w:id="2093313951">
      <w:bodyDiv w:val="1"/>
      <w:marLeft w:val="0"/>
      <w:marRight w:val="0"/>
      <w:marTop w:val="0"/>
      <w:marBottom w:val="0"/>
      <w:divBdr>
        <w:top w:val="none" w:sz="0" w:space="0" w:color="auto"/>
        <w:left w:val="none" w:sz="0" w:space="0" w:color="auto"/>
        <w:bottom w:val="none" w:sz="0" w:space="0" w:color="auto"/>
        <w:right w:val="none" w:sz="0" w:space="0" w:color="auto"/>
      </w:divBdr>
    </w:div>
    <w:div w:id="209454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03B9259D4680546BA820FBA6CE58659" ma:contentTypeVersion="15" ma:contentTypeDescription="Create a new document." ma:contentTypeScope="" ma:versionID="444081b09743bd52372b3b240aed5e13">
  <xsd:schema xmlns:xsd="http://www.w3.org/2001/XMLSchema" xmlns:xs="http://www.w3.org/2001/XMLSchema" xmlns:p="http://schemas.microsoft.com/office/2006/metadata/properties" xmlns:ns2="4cfabda9-4876-489f-9d20-1d08814ab136" xmlns:ns3="e62764c9-74bb-41da-a5bf-f5d3e6ac068e" targetNamespace="http://schemas.microsoft.com/office/2006/metadata/properties" ma:root="true" ma:fieldsID="daea7beddda9dbcf018bd985acd44a49" ns2:_="" ns3:_="">
    <xsd:import namespace="4cfabda9-4876-489f-9d20-1d08814ab136"/>
    <xsd:import namespace="e62764c9-74bb-41da-a5bf-f5d3e6ac068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fabda9-4876-489f-9d20-1d08814ab1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13d00975-9f5b-44bc-af20-02804bb2d69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2764c9-74bb-41da-a5bf-f5d3e6ac068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33f2a602-a3d4-4cc5-8b13-0a6b422f562a}" ma:internalName="TaxCatchAll" ma:showField="CatchAllData" ma:web="e62764c9-74bb-41da-a5bf-f5d3e6ac0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cfabda9-4876-489f-9d20-1d08814ab136">
      <Terms xmlns="http://schemas.microsoft.com/office/infopath/2007/PartnerControls"/>
    </lcf76f155ced4ddcb4097134ff3c332f>
    <TaxCatchAll xmlns="e62764c9-74bb-41da-a5bf-f5d3e6ac068e" xsi:nil="true"/>
  </documentManagement>
</p:properties>
</file>

<file path=customXml/itemProps1.xml><?xml version="1.0" encoding="utf-8"?>
<ds:datastoreItem xmlns:ds="http://schemas.openxmlformats.org/officeDocument/2006/customXml" ds:itemID="{4083B98B-5A33-4C8C-BC6D-37EDD4699022}">
  <ds:schemaRefs>
    <ds:schemaRef ds:uri="http://schemas.microsoft.com/sharepoint/v3/contenttype/forms"/>
  </ds:schemaRefs>
</ds:datastoreItem>
</file>

<file path=customXml/itemProps2.xml><?xml version="1.0" encoding="utf-8"?>
<ds:datastoreItem xmlns:ds="http://schemas.openxmlformats.org/officeDocument/2006/customXml" ds:itemID="{DDF10A16-7A39-459E-BC34-0945B643F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cfabda9-4876-489f-9d20-1d08814ab136"/>
    <ds:schemaRef ds:uri="e62764c9-74bb-41da-a5bf-f5d3e6ac0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755319-96E4-43D0-8C1B-096FC20389E1}">
  <ds:schemaRefs>
    <ds:schemaRef ds:uri="http://schemas.microsoft.com/office/2006/metadata/properties"/>
    <ds:schemaRef ds:uri="http://schemas.microsoft.com/office/infopath/2007/PartnerControls"/>
    <ds:schemaRef ds:uri="4cfabda9-4876-489f-9d20-1d08814ab136"/>
    <ds:schemaRef ds:uri="e62764c9-74bb-41da-a5bf-f5d3e6ac068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1580</Words>
  <Characters>9012</Characters>
  <Application>Microsoft Office Word</Application>
  <DocSecurity>0</DocSecurity>
  <Lines>75</Lines>
  <Paragraphs>21</Paragraphs>
  <ScaleCrop>false</ScaleCrop>
  <Company>Microsoft</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Lees</dc:creator>
  <cp:keywords/>
  <dc:description/>
  <cp:lastModifiedBy>Natalie Dickson</cp:lastModifiedBy>
  <cp:revision>2</cp:revision>
  <cp:lastPrinted>2020-09-11T16:37:00Z</cp:lastPrinted>
  <dcterms:created xsi:type="dcterms:W3CDTF">2025-06-10T21:31:00Z</dcterms:created>
  <dcterms:modified xsi:type="dcterms:W3CDTF">2025-06-10T21:31:00Z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0x010100603B9259D4680546BA820FBA6CE58659</vt:lpwstr>
  </property>
  <property fmtid="{D5CDD505-2E9C-101B-9397-08002B2CF9AE}" pid="3" name="MediaServiceImageTags">
    <vt:lpwstr/>
  </property>
</Properties>
</file>